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96"/>
          <w:szCs w:val="96"/>
        </w:rPr>
      </w:pPr>
      <w:r>
        <w:rPr>
          <w:rFonts w:ascii="宋体" w:hAnsi="宋体" w:cs="宋体"/>
          <w:b/>
          <w:sz w:val="96"/>
          <w:szCs w:val="96"/>
        </w:rPr>
      </w:r>
      <w:r/>
    </w:p>
    <w:p>
      <w:pPr>
        <w:pStyle w:val="979"/>
        <w:rPr>
          <w:rFonts w:ascii="宋体" w:hAnsi="宋体" w:cs="宋体"/>
        </w:rPr>
      </w:pPr>
      <w:r>
        <w:rPr>
          <w:rFonts w:ascii="宋体" w:hAnsi="宋体" w:cs="宋体"/>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ind w:firstLine="12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JSZC-320509-SZYJ-C2025-0061</w:t>
      </w:r>
      <w:r>
        <w:rPr>
          <w:color w:val="auto"/>
          <w:highlight w:val="none"/>
        </w:rPr>
      </w:r>
      <w:r/>
    </w:p>
    <w:p>
      <w:pPr>
        <w:ind w:firstLine="1200"/>
        <w:spacing w:line="360" w:lineRule="auto"/>
        <w:tabs>
          <w:tab w:val="left" w:pos="709" w:leader="none"/>
        </w:tabs>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执法办案管理中心采购医疗服务</w:t>
      </w:r>
      <w:r>
        <w:rPr>
          <w:rFonts w:hint="eastAsia" w:ascii="宋体" w:hAnsi="宋体" w:cs="宋体"/>
          <w:color w:val="auto"/>
          <w:sz w:val="30"/>
          <w:szCs w:val="30"/>
          <w:highlight w:val="none"/>
          <w:lang w:eastAsia="zh-CN"/>
        </w:rPr>
        <w:t xml:space="preserve">项目</w:t>
      </w:r>
      <w:r>
        <w:rPr>
          <w:color w:val="auto"/>
          <w:highlight w:val="none"/>
        </w:rPr>
      </w:r>
      <w:r/>
    </w:p>
    <w:p>
      <w:pPr>
        <w:ind w:firstLine="12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rPr>
          <w:color w:val="auto"/>
          <w:highlight w:val="none"/>
        </w:rPr>
      </w:r>
      <w:r/>
    </w:p>
    <w:p>
      <w:pPr>
        <w:ind w:firstLine="1200"/>
        <w:spacing w:line="360" w:lineRule="auto"/>
        <w:tabs>
          <w:tab w:val="left" w:pos="709" w:leader="none"/>
        </w:tabs>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苏州市公安局吴江分局</w:t>
      </w:r>
      <w:r>
        <w:rPr>
          <w:color w:val="auto"/>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rPr>
          <w:color w:val="auto"/>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rPr>
          <w:color w:val="auto"/>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rPr>
          <w:color w:val="auto"/>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8"/>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8" o:title=""/>
              </v:shape>
            </w:pict>
          </mc:Fallback>
        </mc:AlternateContent>
      </w:r>
      <w:r>
        <w:rPr>
          <w:color w:val="auto"/>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rPr>
        <w:t xml:space="preserve">〇二</w:t>
      </w:r>
      <w:r>
        <w:rPr>
          <w:rFonts w:hint="eastAsia" w:ascii="宋体" w:hAnsi="宋体" w:cs="宋体"/>
          <w:b/>
          <w:bCs/>
          <w:color w:val="auto"/>
          <w:sz w:val="30"/>
          <w:szCs w:val="30"/>
          <w:highlight w:val="none"/>
          <w:lang w:eastAsia="zh-CN"/>
        </w:rPr>
        <w:t xml:space="preserve">五</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月</w:t>
      </w:r>
      <w:r>
        <w:rPr>
          <w:color w:val="auto"/>
          <w:highlight w:val="none"/>
        </w:rPr>
      </w:r>
      <w:r/>
    </w:p>
    <w:p>
      <w:pPr>
        <w:jc w:val="center"/>
        <w:spacing w:line="360" w:lineRule="auto"/>
        <w:rPr>
          <w:rFonts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cs="宋体"/>
          <w:b/>
          <w:color w:val="auto"/>
          <w:sz w:val="52"/>
          <w:szCs w:val="52"/>
          <w:highlight w:val="none"/>
        </w:rPr>
      </w:r>
      <w:r>
        <w:rPr>
          <w:color w:val="auto"/>
          <w:highlight w:val="none"/>
        </w:rPr>
      </w:r>
      <w:r/>
    </w:p>
    <w:p>
      <w:pPr>
        <w:jc w:val="center"/>
        <w:spacing w:line="48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rPr>
          <w:color w:val="auto"/>
          <w:highlight w:val="none"/>
        </w:rPr>
      </w:r>
      <w:r/>
    </w:p>
    <w:p>
      <w:pPr>
        <w:pStyle w:val="1017"/>
        <w:ind w:firstLine="420"/>
        <w:rPr>
          <w:rFonts w:ascii="宋体" w:hAnsi="宋体" w:cs="宋体"/>
          <w:color w:val="auto"/>
          <w:highlight w:val="none"/>
        </w:rPr>
      </w:pPr>
      <w:r>
        <w:rPr>
          <w:rFonts w:ascii="宋体" w:hAnsi="宋体" w:cs="宋体"/>
          <w:color w:val="auto"/>
          <w:highlight w:val="none"/>
        </w:rPr>
      </w:r>
      <w:r>
        <w:rPr>
          <w:color w:val="auto"/>
          <w:highlight w:val="none"/>
        </w:rPr>
      </w:r>
      <w:r/>
    </w:p>
    <w:tbl>
      <w:tblPr>
        <w:tblStyle w:val="9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default" w:ascii="宋体" w:hAnsi="宋体" w:eastAsia="宋体" w:cs="宋体"/>
                <w:color w:val="auto"/>
                <w:highlight w:val="none"/>
              </w:rPr>
            </w:pPr>
            <w:r>
              <w:rPr>
                <w:rFonts w:hint="eastAsia" w:ascii="宋体" w:hAnsi="宋体" w:cs="宋体"/>
                <w:color w:val="auto"/>
                <w:highlight w:val="none"/>
                <w:lang w:eastAsia="zh-CN"/>
              </w:rPr>
              <w:t xml:space="preserve">执法办案管理中心采购医疗服务项目</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贰佰万元整</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2000000.00</w:t>
            </w:r>
            <w:r>
              <w:rPr>
                <w:rFonts w:hint="eastAsia" w:ascii="宋体" w:hAnsi="宋体" w:cs="宋体"/>
                <w:color w:val="auto"/>
                <w:szCs w:val="21"/>
                <w:highlight w:val="none"/>
              </w:rPr>
              <w:t xml:space="preserve">）</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现场勘查</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响应货币</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color w:val="auto"/>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rPr>
                <w:color w:val="auto"/>
                <w:highlight w:val="none"/>
              </w:rPr>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17"/>
              <w:ind w:firstLine="0"/>
              <w:jc w:val="center"/>
              <w:rPr>
                <w:rFonts w:ascii="宋体" w:hAnsi="宋体" w:cs="宋体"/>
                <w:color w:val="auto"/>
                <w:szCs w:val="21"/>
                <w:highlight w:val="none"/>
              </w:rPr>
            </w:pPr>
            <w:r>
              <w:rPr>
                <w:rFonts w:hint="eastAsia" w:ascii="宋体" w:hAnsi="宋体" w:cs="宋体"/>
                <w:color w:val="auto"/>
                <w:szCs w:val="21"/>
                <w:highlight w:val="none"/>
                <w:lang w:val="en-US"/>
              </w:rPr>
              <w:t xml:space="preserve">8</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网上响应文件接收开始时间</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日09:00（北京时间）</w:t>
            </w:r>
            <w:r>
              <w:rPr>
                <w:color w:val="auto"/>
                <w:highlight w:val="none"/>
              </w:rPr>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17"/>
              <w:ind w:firstLine="420"/>
              <w:jc w:val="center"/>
              <w:rPr>
                <w:rFonts w:ascii="宋体" w:hAnsi="宋体" w:cs="宋体"/>
                <w:color w:val="000000" w:themeColor="text1"/>
                <w:highlight w:val="none"/>
                <w:lang w:val="en-US"/>
                <w14:textFill>
                  <w14:solidFill>
                    <w14:schemeClr w14:val="tx1"/>
                  </w14:solidFill>
                </w14:textFill>
              </w:rPr>
            </w:pPr>
            <w:r>
              <w:rPr>
                <w:rFonts w:ascii="宋体" w:hAnsi="宋体" w:cs="宋体"/>
                <w:color w:val="000000" w:themeColor="text1"/>
                <w:highlight w:val="none"/>
                <w:lang w:val="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09:30（北京时间）</w:t>
            </w:r>
            <w:r>
              <w:rPr>
                <w:color w:val="auto"/>
                <w:highlight w:val="none"/>
              </w:rPr>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rPr>
                <w:color w:val="auto"/>
                <w:highlight w:val="none"/>
              </w:rPr>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w:t>
            </w:r>
            <w:r>
              <w:rPr>
                <w:rFonts w:hint="eastAsia" w:ascii="宋体" w:hAnsi="宋体" w:cs="宋体"/>
                <w:color w:val="auto"/>
                <w:szCs w:val="21"/>
                <w:highlight w:val="none"/>
              </w:rPr>
            </w:r>
            <w:r>
              <w:rPr>
                <w:rFonts w:hint="eastAsia" w:ascii="宋体" w:hAnsi="宋体" w:cs="宋体"/>
                <w:color w:val="auto"/>
                <w:szCs w:val="21"/>
                <w:highlight w:val="none"/>
              </w:rPr>
            </w:r>
            <w:r>
              <w:rPr>
                <w:rFonts w:hint="eastAsia" w:ascii="宋体" w:hAnsi="宋体" w:cs="宋体"/>
                <w:color w:val="auto"/>
                <w:szCs w:val="21"/>
                <w:highlight w:val="none"/>
              </w:rPr>
              <w:t xml:space="preserve">09:30</w:t>
            </w:r>
            <w:r/>
            <w:r>
              <w:rPr>
                <w:rFonts w:hint="eastAsia" w:ascii="宋体" w:hAnsi="宋体" w:cs="宋体"/>
                <w:color w:val="auto"/>
                <w:szCs w:val="21"/>
                <w:highlight w:val="none"/>
              </w:rPr>
              <w:t xml:space="preserve">（北京时间）</w:t>
            </w:r>
            <w:r>
              <w:rPr>
                <w:color w:val="auto"/>
                <w:highlight w:val="none"/>
              </w:rPr>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rPr>
                <w:color w:val="auto"/>
                <w:highlight w:val="none"/>
              </w:rPr>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rPr>
                <w:color w:val="auto"/>
                <w:highlight w:val="none"/>
              </w:rPr>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color w:val="auto"/>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rPr>
                <w:color w:val="auto"/>
                <w:highlight w:val="none"/>
              </w:rPr>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rPr>
                <w:color w:val="auto"/>
                <w:highlight w:val="none"/>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w:t>
            </w:r>
            <w:r>
              <w:rPr>
                <w:rFonts w:hint="eastAsia" w:ascii="宋体" w:hAnsi="宋体" w:cs="宋体"/>
                <w:color w:val="auto"/>
                <w:szCs w:val="21"/>
                <w:highlight w:val="none"/>
              </w:rPr>
            </w:r>
            <w:r>
              <w:rPr>
                <w:rFonts w:hint="eastAsia" w:ascii="宋体" w:hAnsi="宋体" w:cs="宋体"/>
                <w:color w:val="auto"/>
                <w:szCs w:val="21"/>
                <w:highlight w:val="none"/>
              </w:rPr>
            </w:r>
            <w:r>
              <w:rPr>
                <w:rFonts w:hint="eastAsia" w:ascii="宋体" w:hAnsi="宋体" w:cs="宋体"/>
                <w:color w:val="auto"/>
                <w:szCs w:val="21"/>
                <w:highlight w:val="none"/>
              </w:rPr>
              <w:t xml:space="preserve">09:30</w:t>
            </w:r>
            <w:r/>
            <w:r>
              <w:rPr>
                <w:rFonts w:hint="eastAsia" w:ascii="宋体" w:hAnsi="宋体" w:cs="宋体"/>
                <w:color w:val="auto"/>
                <w:szCs w:val="21"/>
                <w:highlight w:val="none"/>
              </w:rPr>
              <w:t xml:space="preserve">（北京时间）</w:t>
            </w:r>
            <w:r>
              <w:rPr>
                <w:color w:val="auto"/>
                <w:highlight w:val="none"/>
              </w:rPr>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rPr>
                <w:color w:val="auto"/>
                <w:highlight w:val="none"/>
              </w:rPr>
            </w:r>
            <w:r/>
          </w:p>
        </w:tc>
      </w:tr>
    </w:tbl>
    <w:p>
      <w:pPr>
        <w:pStyle w:val="980"/>
        <w:rPr>
          <w:rFonts w:ascii="宋体" w:hAnsi="宋体" w:cs="宋体"/>
          <w:b/>
          <w:color w:val="auto"/>
          <w:sz w:val="52"/>
          <w:szCs w:val="52"/>
          <w:highlight w:val="none"/>
        </w:rPr>
      </w:pPr>
      <w:r>
        <w:rPr>
          <w:rFonts w:ascii="宋体" w:hAnsi="宋体" w:cs="宋体"/>
          <w:b/>
          <w:color w:val="auto"/>
          <w:sz w:val="52"/>
          <w:szCs w:val="52"/>
          <w:highlight w:val="none"/>
        </w:rPr>
      </w:r>
      <w:r>
        <w:rPr>
          <w:color w:val="auto"/>
          <w:highlight w:val="none"/>
        </w:rPr>
      </w:r>
      <w:r/>
    </w:p>
    <w:p>
      <w:pPr>
        <w:pStyle w:val="980"/>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color w:val="auto"/>
          <w:highlight w:val="none"/>
        </w:rPr>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rPr>
          <w:color w:val="auto"/>
          <w:highlight w:val="none"/>
        </w:rPr>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rPr>
          <w:color w:val="auto"/>
          <w:highlight w:val="none"/>
        </w:rPr>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rPr>
          <w:color w:val="auto"/>
          <w:highlight w:val="none"/>
        </w:rPr>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rPr>
          <w:color w:val="auto"/>
          <w:highlight w:val="none"/>
        </w:rPr>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rPr>
          <w:color w:val="auto"/>
          <w:highlight w:val="none"/>
        </w:rPr>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rPr>
          <w:color w:val="auto"/>
          <w:highlight w:val="none"/>
        </w:rPr>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auto"/>
          <w:sz w:val="32"/>
          <w:szCs w:val="32"/>
          <w:highlight w:val="none"/>
        </w:rPr>
      </w:r>
      <w:r>
        <w:rPr>
          <w:color w:val="auto"/>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rPr>
          <w:color w:val="auto"/>
          <w:highlight w:val="none"/>
        </w:rPr>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项目概况</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苏州市公安局吴江分局</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lang w:eastAsia="zh-CN"/>
              </w:rPr>
              <w:t xml:space="preserve">执法办案管理中心采购医疗服务项目</w:t>
            </w:r>
            <w:r>
              <w:rPr>
                <w:rFonts w:hint="eastAsia" w:ascii="宋体" w:hAnsi="宋体" w:cs="宋体"/>
                <w:color w:val="auto"/>
                <w:szCs w:val="21"/>
                <w:highlight w:val="none"/>
                <w:lang w:val="zh-CN"/>
              </w:rPr>
              <w:t xml:space="preserve">的潜在供应商应在“苏采云”系统获取采购文件，并于</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w:t>
            </w:r>
            <w:r>
              <w:rPr>
                <w:rFonts w:hint="eastAsia" w:ascii="宋体" w:hAnsi="宋体" w:cs="宋体"/>
                <w:color w:val="auto"/>
                <w:szCs w:val="21"/>
                <w:highlight w:val="none"/>
              </w:rPr>
              <w:t xml:space="preserve">09</w:t>
            </w:r>
            <w:r>
              <w:rPr>
                <w:rFonts w:hint="eastAsia" w:ascii="宋体" w:hAnsi="宋体" w:cs="宋体"/>
                <w:color w:val="auto"/>
                <w:szCs w:val="21"/>
                <w:highlight w:val="none"/>
                <w:lang w:val="zh-CN"/>
              </w:rPr>
              <w:t xml:space="preserve">时30分（北京时间）</w:t>
            </w:r>
            <w:r>
              <w:rPr>
                <w:rFonts w:hint="eastAsia" w:ascii="宋体" w:hAnsi="宋体" w:cs="宋体"/>
                <w:color w:val="auto"/>
                <w:szCs w:val="21"/>
                <w:highlight w:val="none"/>
                <w:lang w:val="zh-CN"/>
              </w:rPr>
              <w:t xml:space="preserve">前递交响应文件。</w:t>
            </w:r>
            <w:r>
              <w:rPr>
                <w:color w:val="auto"/>
                <w:highlight w:val="none"/>
              </w:rPr>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rPr>
          <w:color w:val="auto"/>
          <w:highlight w:val="none"/>
        </w:rPr>
      </w:r>
      <w:r/>
    </w:p>
    <w:p>
      <w:pPr>
        <w:ind w:firstLine="420"/>
        <w:spacing w:line="360" w:lineRule="auto"/>
        <w:rPr>
          <w:rFonts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JSZC-320509-SZYJ-C2025-0061</w:t>
      </w:r>
      <w:r>
        <w:rPr>
          <w:rFonts w:hint="eastAsia" w:ascii="宋体" w:hAnsi="宋体" w:cs="宋体"/>
          <w:bCs/>
          <w:color w:val="auto"/>
          <w:szCs w:val="21"/>
          <w:highlight w:val="none"/>
        </w:rPr>
        <w:t xml:space="preserve">号</w:t>
      </w:r>
      <w:r>
        <w:rPr>
          <w:color w:val="auto"/>
          <w:highlight w:val="none"/>
        </w:rPr>
      </w:r>
      <w:r/>
    </w:p>
    <w:p>
      <w:pPr>
        <w:ind w:firstLine="420"/>
        <w:spacing w:line="360" w:lineRule="auto"/>
        <w:rPr>
          <w:rFonts w:hint="default" w:ascii="宋体" w:hAnsi="宋体" w:eastAsia="宋体" w:cs="宋体"/>
          <w:bCs/>
          <w:color w:val="auto"/>
          <w:szCs w:val="21"/>
          <w:highlight w:val="none"/>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执法办案管理中心采购医疗服务项目</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eastAsia="zh-CN"/>
        </w:rPr>
        <w:t xml:space="preserve">贰佰万元整</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2000000.00</w:t>
      </w:r>
      <w:r>
        <w:rPr>
          <w:rFonts w:hint="eastAsia" w:ascii="宋体" w:hAnsi="宋体" w:cs="宋体"/>
          <w:color w:val="auto"/>
          <w:szCs w:val="21"/>
          <w:highlight w:val="none"/>
          <w:lang w:val="zh-CN"/>
        </w:rPr>
        <w:t xml:space="preserve">）</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贰佰万元整</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2000000.00</w:t>
      </w:r>
      <w:r>
        <w:rPr>
          <w:rFonts w:hint="eastAsia" w:ascii="宋体" w:hAnsi="宋体" w:cs="宋体"/>
          <w:color w:val="auto"/>
          <w:szCs w:val="21"/>
          <w:highlight w:val="none"/>
          <w:lang w:val="zh-CN"/>
        </w:rPr>
        <w:t xml:space="preserve">）</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（六）采购需求：</w:t>
      </w:r>
      <w:r>
        <w:rPr>
          <w:color w:val="auto"/>
          <w:highlight w:val="none"/>
        </w:rPr>
      </w:r>
      <w:r/>
    </w:p>
    <w:p>
      <w:pPr>
        <w:ind w:firstLine="420"/>
        <w:spacing w:line="360" w:lineRule="auto"/>
        <w:rPr>
          <w:rFonts w:hint="default" w:ascii="宋体" w:hAnsi="宋体" w:cs="宋体"/>
          <w:bCs/>
          <w:color w:val="auto"/>
          <w:szCs w:val="21"/>
          <w:highlight w:val="none"/>
        </w:rPr>
      </w:pPr>
      <w:r>
        <w:rPr>
          <w:rFonts w:hint="eastAsia" w:ascii="宋体" w:hAnsi="宋体" w:cs="宋体"/>
          <w:bCs/>
          <w:color w:val="auto"/>
          <w:szCs w:val="21"/>
          <w:highlight w:val="none"/>
          <w:lang w:val="en-US" w:eastAsia="zh-CN"/>
        </w:rPr>
        <w:t xml:space="preserve">苏州市公安局吴江分局执法办案管理中心是为办案单位送押、送拘犯罪嫌疑人、被告人、违法人员提供“入所体检”而设立，针对健康检查、医疗救助、报告出具等提供服务并</w:t>
      </w:r>
      <w:r>
        <w:rPr>
          <w:rFonts w:hint="eastAsia" w:cs="宋体"/>
          <w:color w:val="auto"/>
          <w:sz w:val="21"/>
          <w:szCs w:val="21"/>
          <w:highlight w:val="none"/>
          <w:u w:val="none"/>
        </w:rPr>
        <w:t xml:space="preserve">负责派遣医务人员、专业技师维持日常运作。具体内容详见采购文件</w:t>
      </w:r>
      <w:r>
        <w:rPr>
          <w:rFonts w:hint="eastAsia" w:cs="宋体"/>
          <w:color w:val="auto"/>
          <w:sz w:val="21"/>
          <w:szCs w:val="21"/>
          <w:highlight w:val="none"/>
          <w:u w:val="none"/>
          <w:lang w:eastAsia="zh-CN"/>
        </w:rPr>
        <w:t xml:space="preserve">。</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（七）</w:t>
      </w:r>
      <w:r>
        <w:rPr>
          <w:rFonts w:hint="eastAsia" w:ascii="宋体" w:hAnsi="宋体" w:cs="宋体"/>
          <w:bCs/>
          <w:color w:val="auto"/>
          <w:szCs w:val="21"/>
          <w:highlight w:val="none"/>
          <w:lang w:val="en-US" w:eastAsia="zh-CN"/>
        </w:rPr>
        <w:t xml:space="preserve">服务</w:t>
      </w:r>
      <w:r>
        <w:rPr>
          <w:rFonts w:hint="eastAsia" w:ascii="宋体" w:hAnsi="宋体" w:cs="宋体"/>
          <w:bCs/>
          <w:color w:val="auto"/>
          <w:szCs w:val="21"/>
          <w:highlight w:val="none"/>
          <w:lang w:val="zh-CN" w:eastAsia="zh-Hans"/>
        </w:rPr>
        <w:t xml:space="preserve">期限</w:t>
      </w:r>
      <w:r>
        <w:rPr>
          <w:rFonts w:hint="eastAsia" w:ascii="宋体" w:hAnsi="宋体" w:cs="宋体"/>
          <w:bCs/>
          <w:color w:val="auto"/>
          <w:szCs w:val="21"/>
          <w:highlight w:val="none"/>
        </w:rPr>
        <w:t xml:space="preserve">：</w:t>
      </w:r>
      <w:r>
        <w:rPr>
          <w:rFonts w:hint="eastAsia" w:ascii="宋体" w:hAnsi="宋体" w:cs="宋体"/>
          <w:color w:val="auto"/>
          <w:szCs w:val="21"/>
          <w:highlight w:val="none"/>
          <w:lang w:val="en-US" w:eastAsia="zh-CN"/>
        </w:rPr>
        <w:t xml:space="preserve">一年</w:t>
      </w:r>
      <w:r>
        <w:rPr>
          <w:rFonts w:hint="eastAsia" w:ascii="宋体" w:hAnsi="宋体" w:cs="宋体"/>
          <w:bCs/>
          <w:color w:val="auto"/>
          <w:szCs w:val="21"/>
          <w:highlight w:val="none"/>
          <w:lang w:eastAsia="zh-CN"/>
        </w:rPr>
        <w:t xml:space="preserve">。</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八</w:t>
      </w:r>
      <w:r>
        <w:rPr>
          <w:rFonts w:hint="eastAsia" w:ascii="宋体" w:hAnsi="宋体" w:cs="宋体"/>
          <w:bCs/>
          <w:color w:val="auto"/>
          <w:szCs w:val="21"/>
          <w:highlight w:val="none"/>
        </w:rPr>
        <w:t xml:space="preserve">）服务地点：采购单位指定地点。</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九</w:t>
      </w:r>
      <w:r>
        <w:rPr>
          <w:rFonts w:hint="eastAsia" w:ascii="宋体" w:hAnsi="宋体" w:cs="宋体"/>
          <w:bCs/>
          <w:color w:val="auto"/>
          <w:szCs w:val="21"/>
          <w:highlight w:val="none"/>
        </w:rPr>
        <w:t xml:space="preserve">）验收标准：根据采购文件、响应文件、国家、行业相关标准由采购人验收。</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十</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rPr>
        <w:t xml:space="preserve">本项目不接受联合体投标、不允许分包转包。</w:t>
      </w:r>
      <w:r>
        <w:rPr>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二、★申请人的资格要求：</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rPr>
          <w:color w:val="auto"/>
          <w:highlight w:val="none"/>
        </w:rPr>
      </w:r>
      <w:r/>
    </w:p>
    <w:p>
      <w:pPr>
        <w:pStyle w:val="104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rPr>
          <w:color w:val="auto"/>
          <w:highlight w:val="none"/>
        </w:rPr>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eastAsia="宋体" w:cs="宋体"/>
          <w:color w:val="auto"/>
          <w:sz w:val="21"/>
          <w:szCs w:val="21"/>
          <w:highlight w:val="none"/>
          <w:lang w:val="zh-CN"/>
        </w:rPr>
        <w:t xml:space="preserve">落实政府采购政策需满足的资格要求：</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非</w:t>
      </w:r>
      <w:r>
        <w:rPr>
          <w:rFonts w:hint="eastAsia" w:ascii="宋体" w:hAnsi="宋体" w:cs="宋体"/>
          <w:b/>
          <w:color w:val="auto"/>
          <w:szCs w:val="21"/>
          <w:highlight w:val="none"/>
        </w:rPr>
        <w:t xml:space="preserve">专门面向中小企业</w:t>
      </w:r>
      <w:r>
        <w:rPr>
          <w:rFonts w:hint="eastAsia" w:ascii="宋体" w:hAnsi="宋体" w:cs="宋体"/>
          <w:bCs/>
          <w:color w:val="auto"/>
          <w:szCs w:val="21"/>
          <w:highlight w:val="none"/>
        </w:rPr>
        <w:t xml:space="preserve">，</w:t>
      </w:r>
      <w:r>
        <w:rPr>
          <w:rFonts w:hint="eastAsia" w:ascii="宋体" w:hAnsi="宋体" w:eastAsia="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val="0"/>
          <w:color w:val="auto"/>
          <w:szCs w:val="21"/>
          <w:highlight w:val="none"/>
        </w:rPr>
        <w:t xml:space="preserve">其他未列明行业。</w:t>
      </w:r>
      <w:r>
        <w:rPr>
          <w:color w:val="auto"/>
          <w:highlight w:val="none"/>
        </w:rPr>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（三）</w:t>
      </w:r>
      <w:r>
        <w:rPr>
          <w:rFonts w:hint="eastAsia" w:ascii="宋体" w:hAnsi="宋体" w:eastAsia="宋体" w:cs="宋体"/>
          <w:color w:val="auto"/>
          <w:highlight w:val="none"/>
          <w:lang w:eastAsia="zh-CN"/>
        </w:rPr>
        <w:t xml:space="preserve">本项目的特定资格要求：</w:t>
      </w:r>
      <w:r>
        <w:rPr>
          <w:rFonts w:hint="eastAsia" w:ascii="宋体" w:hAnsi="宋体" w:eastAsia="宋体" w:cs="宋体"/>
          <w:color w:val="auto"/>
          <w:highlight w:val="none"/>
          <w:lang w:val="en-US" w:eastAsia="zh-CN"/>
        </w:rPr>
        <w:t xml:space="preserve">供应商应具有有效的《医疗机构执业许可证》</w:t>
      </w:r>
      <w:r>
        <w:rPr>
          <w:rFonts w:hint="eastAsia" w:ascii="宋体" w:hAnsi="宋体" w:eastAsia="宋体" w:cs="宋体"/>
          <w:color w:val="auto"/>
          <w:highlight w:val="none"/>
          <w:lang w:eastAsia="zh-CN"/>
        </w:rPr>
        <w:t xml:space="preserve">。</w:t>
      </w:r>
      <w:r>
        <w:rPr>
          <w:color w:val="auto"/>
          <w:highlight w:val="none"/>
        </w:rPr>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（四）拒绝下列供应商参加本次采购活动：</w:t>
      </w:r>
      <w:r>
        <w:rPr>
          <w:color w:val="auto"/>
          <w:highlight w:val="none"/>
        </w:rPr>
      </w:r>
      <w:r/>
    </w:p>
    <w:p>
      <w:pPr>
        <w:pStyle w:val="101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s="宋体"/>
          <w:color w:val="auto"/>
          <w:szCs w:val="21"/>
          <w:highlight w:val="none"/>
          <w:lang w:eastAsia="zh-CN"/>
        </w:rPr>
        <w:t xml:space="preserve">〔2017〕11号</w:t>
      </w:r>
      <w:r>
        <w:rPr>
          <w:rFonts w:hint="eastAsia" w:ascii="宋体" w:hAnsi="宋体" w:cs="宋体"/>
          <w:color w:val="auto"/>
          <w:szCs w:val="21"/>
          <w:highlight w:val="none"/>
        </w:rPr>
        <w:t xml:space="preserve">）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auto"/>
          <w:highlight w:val="none"/>
        </w:rPr>
      </w:r>
      <w:r/>
    </w:p>
    <w:p>
      <w:pPr>
        <w:ind w:firstLine="422"/>
        <w:spacing w:line="360" w:lineRule="auto"/>
        <w:rPr>
          <w:rFonts w:ascii="宋体" w:hAnsi="宋体" w:cs="宋体"/>
          <w:b/>
          <w:bCs/>
          <w:color w:val="auto"/>
          <w:szCs w:val="21"/>
          <w:highlight w:val="none"/>
        </w:rPr>
        <w:outlineLvl w:val="0"/>
      </w:pPr>
      <w:r>
        <w:rPr>
          <w:color w:val="auto"/>
          <w:highlight w:val="none"/>
        </w:rPr>
      </w:r>
      <w:bookmarkStart w:id="0" w:name="_Toc28359008"/>
      <w:r>
        <w:rPr>
          <w:color w:val="auto"/>
          <w:highlight w:val="none"/>
        </w:rPr>
      </w:r>
      <w:bookmarkStart w:id="1" w:name="_Toc35393796"/>
      <w:r>
        <w:rPr>
          <w:color w:val="auto"/>
          <w:highlight w:val="none"/>
        </w:rPr>
      </w:r>
      <w:bookmarkStart w:id="2" w:name="_Toc35393627"/>
      <w:r>
        <w:rPr>
          <w:color w:val="auto"/>
          <w:highlight w:val="none"/>
        </w:rPr>
      </w:r>
      <w:bookmarkStart w:id="3" w:name="_Toc28359085"/>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自磋商文件公告发布之日起5个工作日</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地点：“苏采云”系统</w:t>
      </w:r>
      <w:r>
        <w:rPr>
          <w:color w:val="auto"/>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方式：线上获取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售价：0.00元</w:t>
      </w:r>
      <w:r>
        <w:rPr>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响应文件提交</w:t>
      </w:r>
      <w:r>
        <w:rPr>
          <w:color w:val="auto"/>
          <w:highlight w:val="none"/>
        </w:rPr>
      </w:r>
      <w:r/>
    </w:p>
    <w:p>
      <w:pPr>
        <w:ind w:firstLine="420"/>
        <w:spacing w:line="360" w:lineRule="auto"/>
        <w:rPr>
          <w:rFonts w:ascii="宋体" w:hAnsi="宋体" w:cs="宋体"/>
          <w:bCs/>
          <w:color w:val="auto"/>
          <w:szCs w:val="21"/>
          <w:highlight w:val="none"/>
        </w:rPr>
      </w:pPr>
      <w:r>
        <w:rPr>
          <w:color w:val="auto"/>
          <w:highlight w:val="none"/>
        </w:rPr>
      </w:r>
      <w:bookmarkStart w:id="4" w:name="_Toc35393633"/>
      <w:r>
        <w:rPr>
          <w:color w:val="auto"/>
          <w:highlight w:val="none"/>
        </w:rPr>
      </w:r>
      <w:bookmarkStart w:id="5" w:name="_Toc35393802"/>
      <w:r>
        <w:rPr>
          <w:color w:val="auto"/>
          <w:highlight w:val="none"/>
        </w:rPr>
      </w:r>
      <w:bookmarkStart w:id="6" w:name="_Toc28359016"/>
      <w:r>
        <w:rPr>
          <w:color w:val="auto"/>
          <w:highlight w:val="none"/>
        </w:rPr>
      </w:r>
      <w:bookmarkStart w:id="7" w:name="_Toc28359093"/>
      <w:r>
        <w:rPr>
          <w:rFonts w:hint="eastAsia" w:ascii="宋体" w:hAnsi="宋体" w:cs="宋体"/>
          <w:bCs/>
          <w:color w:val="auto"/>
          <w:szCs w:val="21"/>
          <w:highlight w:val="none"/>
        </w:rPr>
        <w:t xml:space="preserve">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w:t>
      </w:r>
      <w:r>
        <w:rPr>
          <w:rFonts w:hint="eastAsia" w:ascii="宋体" w:hAnsi="宋体" w:cs="宋体"/>
          <w:bCs/>
          <w:color w:val="auto"/>
          <w:szCs w:val="21"/>
          <w:highlight w:val="none"/>
        </w:rPr>
        <w:t xml:space="preserve">09:30（北京时间）</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地点：</w:t>
      </w:r>
      <w:r>
        <w:rPr>
          <w:rFonts w:hint="eastAsia" w:ascii="宋体" w:hAnsi="宋体" w:cs="宋体"/>
          <w:bCs/>
          <w:color w:val="auto"/>
          <w:szCs w:val="21"/>
          <w:highlight w:val="none"/>
        </w:rPr>
        <w:t xml:space="preserve">“苏采云”系统</w:t>
      </w:r>
      <w:bookmarkEnd w:id="4"/>
      <w:r>
        <w:rPr>
          <w:color w:val="auto"/>
          <w:highlight w:val="none"/>
        </w:rPr>
      </w:r>
      <w:bookmarkEnd w:id="5"/>
      <w:r>
        <w:rPr>
          <w:color w:val="auto"/>
          <w:highlight w:val="none"/>
        </w:rPr>
      </w:r>
      <w:bookmarkEnd w:id="6"/>
      <w:r>
        <w:rPr>
          <w:color w:val="auto"/>
          <w:highlight w:val="none"/>
        </w:rPr>
      </w:r>
      <w:bookmarkEnd w:id="7"/>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rPr>
          <w:color w:val="auto"/>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bidi="ar"/>
        </w:rPr>
        <w:t xml:space="preserve">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月10</w:t>
      </w:r>
      <w:r>
        <w:rPr>
          <w:rFonts w:hint="eastAsia" w:ascii="宋体" w:hAnsi="宋体" w:cs="宋体"/>
          <w:color w:val="auto"/>
          <w:szCs w:val="21"/>
          <w:highlight w:val="none"/>
        </w:rPr>
        <w:t xml:space="preserve">日</w:t>
      </w:r>
      <w:r>
        <w:rPr>
          <w:rFonts w:hint="eastAsia" w:ascii="宋体" w:hAnsi="宋体" w:cs="宋体"/>
          <w:bCs/>
          <w:color w:val="auto"/>
          <w:szCs w:val="21"/>
          <w:highlight w:val="none"/>
        </w:rPr>
        <w:t xml:space="preserve">09:30（北京时间</w:t>
      </w:r>
      <w:r>
        <w:rPr>
          <w:rFonts w:hint="eastAsia" w:ascii="宋体" w:hAnsi="宋体" w:cs="宋体"/>
          <w:bCs/>
          <w:color w:val="auto"/>
          <w:szCs w:val="21"/>
          <w:highlight w:val="none"/>
          <w:lang w:eastAsia="zh-CN"/>
        </w:rPr>
        <w:t xml:space="preserve">）</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地点：苏州市吴江区开平路998号3楼开标室</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自本公告发布之日起5个工作日。</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其他补充事宜：</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（1）CA证书办理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（2）参与采购活动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（3）电子投标准备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注册咨询：18261002950；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CA技术咨询电话：400-608-6099；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签章使用问题：025-83633811、025-83633812、15380932027、15371015030； </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rPr>
          <w:color w:val="auto"/>
          <w:highlight w:val="none"/>
        </w:rPr>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各供应商可自行至现场进行踏勘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w:t>
      </w:r>
      <w:r>
        <w:rPr>
          <w:rFonts w:hint="eastAsia" w:ascii="宋体" w:hAnsi="宋体" w:cs="宋体"/>
          <w:color w:val="auto"/>
          <w:szCs w:val="21"/>
          <w:highlight w:val="none"/>
          <w:lang w:eastAsia="zh-CN"/>
        </w:rPr>
        <w:t xml:space="preserve">不作</w:t>
      </w:r>
      <w:r>
        <w:rPr>
          <w:rFonts w:hint="eastAsia" w:ascii="宋体" w:hAnsi="宋体" w:cs="宋体"/>
          <w:color w:val="auto"/>
          <w:szCs w:val="21"/>
          <w:highlight w:val="none"/>
        </w:rPr>
        <w:t xml:space="preserve">任何答复与考虑。勘查现场</w:t>
      </w:r>
      <w:r>
        <w:rPr>
          <w:rFonts w:hint="eastAsia" w:ascii="宋体" w:hAnsi="宋体" w:cs="宋体"/>
          <w:b/>
          <w:color w:val="auto"/>
          <w:szCs w:val="21"/>
          <w:highlight w:val="none"/>
        </w:rPr>
        <w:t xml:space="preserve">费用自理。</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地址：苏州市吴江区交通路3236号</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盛晓蓉</w:t>
      </w:r>
      <w:r>
        <w:rPr>
          <w:rFonts w:hint="eastAsia" w:ascii="宋体" w:hAnsi="宋体" w:cs="宋体"/>
          <w:color w:val="auto"/>
          <w:szCs w:val="21"/>
          <w:highlight w:val="none"/>
        </w:rPr>
        <w:t xml:space="preserve">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采购代理服务费由成交单位支付，请各供应商在报价时予以综合考虑。</w:t>
      </w:r>
      <w:r>
        <w:rPr>
          <w:color w:val="auto"/>
          <w:highlight w:val="none"/>
        </w:rPr>
      </w:r>
      <w:r/>
    </w:p>
    <w:p>
      <w:pPr>
        <w:ind w:firstLine="420"/>
        <w:jc w:val="left"/>
        <w:spacing w:line="360" w:lineRule="auto"/>
        <w:rPr>
          <w:rFonts w:ascii="宋体" w:hAnsi="宋体" w:cs="宋体"/>
          <w:color w:val="auto"/>
          <w:szCs w:val="20"/>
          <w:highlight w:val="none"/>
        </w:rPr>
      </w:pPr>
      <w:r>
        <w:rPr>
          <w:rFonts w:hint="eastAsia" w:ascii="宋体" w:hAnsi="宋体" w:cs="宋体"/>
          <w:color w:val="auto"/>
          <w:szCs w:val="21"/>
          <w:highlight w:val="none"/>
        </w:rPr>
        <w:t xml:space="preserve">8、磋商保证金：无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rPr>
          <w:color w:val="auto"/>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rPr>
        <w:t xml:space="preserve">履约保证金：</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金额的5%。</w:t>
      </w:r>
      <w:r>
        <w:rPr>
          <w:color w:val="auto"/>
          <w:highlight w:val="none"/>
        </w:rPr>
      </w:r>
      <w:r/>
    </w:p>
    <w:p>
      <w:pPr>
        <w:ind w:firstLine="422"/>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、本次采购的有关信息将在中国政府采购网、江苏省政府采购网、苏州市政府采购网等媒体上发布，敬请留意！</w:t>
      </w:r>
      <w:r>
        <w:rPr>
          <w:rFonts w:hint="eastAsia" w:ascii="宋体" w:hAnsi="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rPr>
          <w:color w:val="auto"/>
          <w:highlight w:val="none"/>
        </w:rPr>
      </w:r>
      <w:r/>
    </w:p>
    <w:p>
      <w:pPr>
        <w:ind w:firstLine="422"/>
        <w:jc w:val="left"/>
        <w:spacing w:line="360" w:lineRule="auto"/>
        <w:rPr>
          <w:rFonts w:hint="default"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11、根据苏州市财政局《关于深入开展苏州市政府采购合同信用融资业务的通知》相关要求，本项目支持政府采购合同信用融资</w:t>
      </w:r>
      <w:r>
        <w:rPr>
          <w:rFonts w:hint="default" w:ascii="宋体" w:hAnsi="宋体" w:cs="宋体"/>
          <w:b/>
          <w:bCs/>
          <w:color w:val="auto"/>
          <w:szCs w:val="21"/>
          <w:highlight w:val="none"/>
          <w:lang w:val="en-US" w:eastAsia="zh-CN"/>
        </w:rPr>
        <w:t xml:space="preserve">。</w:t>
      </w:r>
      <w:r>
        <w:rPr>
          <w:color w:val="auto"/>
          <w:highlight w:val="none"/>
        </w:rPr>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0"/>
      <w:r>
        <w:rPr>
          <w:color w:val="auto"/>
          <w:highlight w:val="none"/>
        </w:rPr>
      </w:r>
      <w:bookmarkEnd w:id="1"/>
      <w:r>
        <w:rPr>
          <w:color w:val="auto"/>
          <w:highlight w:val="none"/>
        </w:rPr>
      </w:r>
      <w:bookmarkEnd w:id="2"/>
      <w:r>
        <w:rPr>
          <w:color w:val="auto"/>
          <w:highlight w:val="none"/>
        </w:rPr>
      </w:r>
      <w:bookmarkEnd w:id="3"/>
      <w:r>
        <w:rPr>
          <w:rFonts w:hint="eastAsia" w:ascii="宋体" w:hAnsi="宋体" w:cs="宋体"/>
          <w:b/>
          <w:bCs/>
          <w:color w:val="auto"/>
          <w:szCs w:val="21"/>
          <w:highlight w:val="none"/>
        </w:rPr>
        <w:t xml:space="preserve">：</w:t>
      </w:r>
      <w:r>
        <w:rPr>
          <w:color w:val="auto"/>
          <w:highlight w:val="none"/>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1、采购人信息</w:t>
      </w:r>
      <w:r>
        <w:rPr>
          <w:color w:val="auto"/>
          <w:highlight w:val="none"/>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名    称：</w:t>
      </w:r>
      <w:r>
        <w:rPr>
          <w:rFonts w:hint="eastAsia" w:ascii="宋体" w:hAnsi="宋体" w:cs="宋体"/>
          <w:color w:val="auto"/>
          <w:szCs w:val="21"/>
          <w:highlight w:val="none"/>
          <w:lang w:val="zh-CN" w:eastAsia="zh-CN"/>
        </w:rPr>
        <w:t xml:space="preserve">苏州市公安局吴江分局</w:t>
      </w:r>
      <w:r>
        <w:rPr>
          <w:color w:val="auto"/>
          <w:highlight w:val="none"/>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地    址：吴江区太湖新城东太湖大道6600号  </w:t>
      </w:r>
      <w:r>
        <w:rPr>
          <w:color w:val="auto"/>
          <w:highlight w:val="none"/>
        </w:rPr>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cs="宋体"/>
          <w:color w:val="auto"/>
          <w:szCs w:val="21"/>
          <w:highlight w:val="none"/>
          <w:lang w:val="zh-CN"/>
        </w:rPr>
        <w:t xml:space="preserve">联 系 人：</w:t>
      </w:r>
      <w:r>
        <w:rPr>
          <w:rFonts w:hint="eastAsia" w:ascii="宋体" w:hAnsi="宋体" w:cs="宋体"/>
          <w:color w:val="auto"/>
          <w:szCs w:val="21"/>
          <w:highlight w:val="none"/>
          <w:lang w:val="en-US" w:eastAsia="zh-CN"/>
        </w:rPr>
        <w:t xml:space="preserve">陆晓斌</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en-US" w:eastAsia="zh-CN"/>
        </w:rPr>
        <w:t xml:space="preserve">0512-63608006</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2、采购代理机构信息</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称：苏州市宇杰工程技术服务咨询有限公司</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址：苏州市吴江区交通路3236号</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联系方式：0512-63663868</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3、项目联系方式</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盛晓蓉</w:t>
      </w:r>
      <w:r>
        <w:rPr>
          <w:rFonts w:hint="eastAsia" w:ascii="宋体" w:hAnsi="宋体" w:cs="宋体"/>
          <w:color w:val="auto"/>
          <w:szCs w:val="21"/>
          <w:highlight w:val="none"/>
        </w:rPr>
        <w:t xml:space="preserve">、沈宇</w:t>
      </w:r>
      <w:r>
        <w:rPr>
          <w:color w:val="auto"/>
          <w:highlight w:val="none"/>
        </w:rPr>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电　话：0512-63663868</w:t>
      </w:r>
      <w:r>
        <w:rPr>
          <w:color w:val="auto"/>
          <w:highlight w:val="none"/>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rPr>
          <w:color w:val="auto"/>
          <w:highlight w:val="none"/>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202</w:t>
      </w:r>
      <w:r>
        <w:rPr>
          <w:rFonts w:hint="eastAsia" w:ascii="宋体" w:hAnsi="宋体" w:cs="宋体"/>
          <w:color w:val="auto"/>
          <w:szCs w:val="21"/>
          <w:highlight w:val="none"/>
          <w:shd w:val="clear" w:color="auto" w:fill="ffffff"/>
          <w:lang w:val="en-US" w:eastAsia="zh-CN"/>
        </w:rPr>
        <w:t xml:space="preserve">5</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10</w:t>
      </w:r>
      <w:r>
        <w:rPr>
          <w:rFonts w:hint="eastAsia" w:ascii="宋体" w:hAnsi="宋体" w:cs="宋体"/>
          <w:color w:val="auto"/>
          <w:szCs w:val="21"/>
          <w:highlight w:val="none"/>
          <w:shd w:val="clear" w:color="auto" w:fill="ffffff"/>
        </w:rPr>
        <w:t xml:space="preserve">月29</w:t>
      </w:r>
      <w:r>
        <w:rPr>
          <w:rFonts w:hint="eastAsia" w:ascii="宋体" w:hAnsi="宋体" w:cs="宋体"/>
          <w:color w:val="auto"/>
          <w:szCs w:val="21"/>
          <w:highlight w:val="none"/>
          <w:shd w:val="clear" w:color="auto" w:fill="ffffff"/>
        </w:rPr>
        <w:t xml:space="preserve">日</w:t>
      </w:r>
      <w:r>
        <w:rPr>
          <w:color w:val="auto"/>
          <w:highlight w:val="none"/>
        </w:rPr>
      </w:r>
      <w:r/>
    </w:p>
    <w:p>
      <w:pPr>
        <w:jc w:val="cente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苏州市公安局吴江分局</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执法办案管理中心采购医疗服务项目</w:t>
      </w:r>
      <w:r>
        <w:rPr>
          <w:rFonts w:hint="eastAsia" w:ascii="宋体" w:hAnsi="宋体" w:cs="宋体"/>
          <w:color w:val="auto"/>
          <w:szCs w:val="21"/>
          <w:highlight w:val="none"/>
        </w:rPr>
        <w:t xml:space="preserve">在国内组织竞争性磋商采购。欢迎符合采购文件资格条件的供应商前来参加磋商。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JSZC-320509-SZYJ-C2025-0061</w:t>
      </w:r>
      <w:r>
        <w:rPr>
          <w:rFonts w:hint="eastAsia" w:ascii="宋体" w:hAnsi="宋体" w:eastAsia="宋体" w:cs="宋体"/>
          <w:color w:val="auto"/>
          <w:szCs w:val="21"/>
          <w:highlight w:val="none"/>
          <w:lang w:val="zh-CN"/>
        </w:rPr>
        <w:t xml:space="preserve">号</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val="zh-CN"/>
        </w:rPr>
        <w:t xml:space="preserve">项目名称：</w:t>
      </w:r>
      <w:r>
        <w:rPr>
          <w:rFonts w:hint="eastAsia" w:ascii="宋体" w:hAnsi="宋体" w:eastAsia="宋体" w:cs="宋体"/>
          <w:color w:val="auto"/>
          <w:szCs w:val="21"/>
          <w:highlight w:val="none"/>
          <w:lang w:val="en-US" w:eastAsia="zh-CN"/>
        </w:rPr>
        <w:t xml:space="preserve">执法办案管理中心采购医疗服务项目</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val="zh-CN"/>
        </w:rPr>
        <w:t xml:space="preserve">采购预算：人民币</w:t>
      </w:r>
      <w:r>
        <w:rPr>
          <w:rFonts w:hint="eastAsia" w:ascii="宋体" w:hAnsi="宋体" w:eastAsia="宋体" w:cs="宋体"/>
          <w:color w:val="auto"/>
          <w:szCs w:val="21"/>
          <w:highlight w:val="none"/>
          <w:lang w:val="zh-CN" w:eastAsia="zh-CN"/>
        </w:rPr>
        <w:t xml:space="preserve">贰佰万元整</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2000000.00</w:t>
      </w:r>
      <w:r>
        <w:rPr>
          <w:rFonts w:hint="eastAsia" w:ascii="宋体" w:hAnsi="宋体" w:eastAsia="宋体" w:cs="宋体"/>
          <w:color w:val="auto"/>
          <w:szCs w:val="21"/>
          <w:highlight w:val="none"/>
          <w:lang w:val="zh-CN"/>
        </w:rPr>
        <w:t xml:space="preserve">）</w:t>
      </w:r>
      <w:r>
        <w:rPr>
          <w:color w:val="auto"/>
          <w:highlight w:val="none"/>
        </w:rPr>
      </w:r>
      <w:r/>
    </w:p>
    <w:p>
      <w:pPr>
        <w:ind w:left="0"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最高限价：人民币贰佰万元整（￥2000000.00）</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四、服务</w:t>
      </w:r>
      <w:r>
        <w:rPr>
          <w:rFonts w:hint="eastAsia" w:ascii="宋体" w:hAnsi="宋体" w:eastAsia="宋体" w:cs="宋体"/>
          <w:color w:val="auto"/>
          <w:szCs w:val="21"/>
          <w:highlight w:val="none"/>
          <w:lang w:eastAsia="zh-CN"/>
        </w:rPr>
        <w:t xml:space="preserve">期限：</w:t>
      </w:r>
      <w:r>
        <w:rPr>
          <w:rFonts w:hint="eastAsia" w:ascii="宋体" w:hAnsi="宋体" w:cs="宋体"/>
          <w:color w:val="auto"/>
          <w:szCs w:val="21"/>
          <w:highlight w:val="none"/>
          <w:lang w:val="en-US" w:eastAsia="zh-CN"/>
        </w:rPr>
        <w:t xml:space="preserve">一年</w:t>
      </w:r>
      <w:r>
        <w:rPr>
          <w:rFonts w:hint="eastAsia" w:ascii="宋体" w:hAnsi="宋体" w:cs="宋体"/>
          <w:bCs/>
          <w:color w:val="auto"/>
          <w:szCs w:val="21"/>
          <w:highlight w:val="none"/>
          <w:lang w:eastAsia="zh-CN"/>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五</w:t>
      </w:r>
      <w:r>
        <w:rPr>
          <w:rFonts w:hint="eastAsia" w:ascii="宋体" w:hAnsi="宋体" w:eastAsia="宋体" w:cs="宋体"/>
          <w:color w:val="auto"/>
          <w:szCs w:val="21"/>
          <w:highlight w:val="none"/>
        </w:rPr>
        <w:t xml:space="preserve">、采购需求：</w:t>
      </w:r>
      <w:r>
        <w:rPr>
          <w:color w:val="auto"/>
          <w:highlight w:val="none"/>
        </w:rPr>
      </w:r>
      <w:r/>
    </w:p>
    <w:p>
      <w:pPr>
        <w:ind w:firstLine="420"/>
        <w:spacing w:line="360" w:lineRule="auto"/>
        <w:rPr>
          <w:rFonts w:hint="default" w:ascii="宋体" w:hAnsi="宋体" w:cs="宋体"/>
          <w:bCs/>
          <w:color w:val="auto"/>
          <w:szCs w:val="21"/>
          <w:highlight w:val="none"/>
        </w:rPr>
      </w:pPr>
      <w:r>
        <w:rPr>
          <w:rFonts w:hint="eastAsia" w:ascii="宋体" w:hAnsi="宋体" w:cs="宋体"/>
          <w:bCs/>
          <w:color w:val="auto"/>
          <w:szCs w:val="21"/>
          <w:highlight w:val="none"/>
          <w:lang w:val="en-US" w:eastAsia="zh-CN"/>
        </w:rPr>
        <w:t xml:space="preserve">苏州市公安局吴江分局执法办案管理中心是为办案单位送押、送拘犯罪嫌疑人、被告人、违法人员提供“入所体检”而设立，针对健康检查、医疗救助、报告出具等提供服务并</w:t>
      </w:r>
      <w:r>
        <w:rPr>
          <w:rFonts w:hint="eastAsia" w:cs="宋体"/>
          <w:color w:val="auto"/>
          <w:sz w:val="21"/>
          <w:szCs w:val="21"/>
          <w:highlight w:val="none"/>
          <w:u w:val="none"/>
        </w:rPr>
        <w:t xml:space="preserve">负责派遣医务人员、专业技师维持日常运作。</w:t>
      </w:r>
      <w:r>
        <w:rPr>
          <w:rFonts w:hint="eastAsia" w:cs="宋体"/>
          <w:color w:val="auto"/>
          <w:sz w:val="21"/>
          <w:szCs w:val="21"/>
          <w:highlight w:val="none"/>
          <w:u w:val="none"/>
          <w:lang w:val="en-US" w:eastAsia="zh-CN"/>
        </w:rPr>
        <w:t xml:space="preserve">具体内容如下：</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执法办案管理中心</w:t>
      </w:r>
      <w:r>
        <w:rPr>
          <w:rFonts w:hint="eastAsia" w:ascii="宋体" w:hAnsi="宋体" w:eastAsia="宋体" w:cs="宋体"/>
          <w:color w:val="auto"/>
          <w:szCs w:val="21"/>
          <w:highlight w:val="none"/>
          <w:lang w:val="en-US" w:eastAsia="zh-CN"/>
        </w:rPr>
        <w:t xml:space="preserve">每日运行时间为13:00-21:00，双休日、国定假日正常运行。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应提供下述医疗服务：</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（1）健康查体：主要包含内外科基本情况、血压、血常规、尿常规、血HCG、</w:t>
      </w:r>
      <w:r>
        <w:rPr>
          <w:rFonts w:hint="eastAsia" w:ascii="宋体" w:hAnsi="宋体" w:eastAsia="宋体" w:cs="宋体"/>
          <w:color w:val="auto"/>
          <w:szCs w:val="21"/>
          <w:highlight w:val="none"/>
          <w:lang w:val="en-US" w:eastAsia="zh-CN"/>
        </w:rPr>
        <w:t xml:space="preserve">腹部</w:t>
      </w:r>
      <w:r>
        <w:rPr>
          <w:rFonts w:hint="eastAsia" w:ascii="宋体" w:hAnsi="宋体" w:cs="宋体"/>
          <w:color w:val="auto"/>
          <w:szCs w:val="21"/>
          <w:highlight w:val="none"/>
          <w:lang w:val="en-US" w:eastAsia="zh-CN"/>
        </w:rPr>
        <w:t xml:space="preserve">CT</w:t>
      </w:r>
      <w:r>
        <w:rPr>
          <w:rFonts w:hint="eastAsia" w:ascii="宋体" w:hAnsi="宋体" w:eastAsia="宋体" w:cs="宋体"/>
          <w:color w:val="auto"/>
          <w:szCs w:val="21"/>
          <w:highlight w:val="none"/>
          <w:lang w:val="en-US" w:eastAsia="zh-CN"/>
        </w:rPr>
        <w:t xml:space="preserve">、胸部CT等；</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（2）医疗救助：主要轻微外伤清创、性侵受害者阴道分泌物采样等；</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（3）报告出具：心电图以及影像图文的报告出具；</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（4）医废清运；</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（5）行政服务：</w:t>
      </w:r>
      <w:r>
        <w:rPr>
          <w:rFonts w:hint="eastAsia" w:ascii="宋体" w:hAnsi="宋体" w:eastAsia="宋体" w:cs="宋体"/>
          <w:color w:val="auto"/>
          <w:szCs w:val="21"/>
          <w:highlight w:val="none"/>
          <w:lang w:val="en-US" w:eastAsia="zh-CN"/>
        </w:rPr>
        <w:t xml:space="preserve">医疗机构执业许可</w:t>
      </w:r>
      <w:r>
        <w:rPr>
          <w:rFonts w:hint="eastAsia" w:ascii="宋体" w:hAnsi="宋体" w:eastAsia="宋体" w:cs="宋体"/>
          <w:color w:val="auto"/>
          <w:szCs w:val="21"/>
          <w:highlight w:val="none"/>
          <w:lang w:val="en-US" w:eastAsia="zh-CN"/>
        </w:rPr>
        <w:t xml:space="preserve">、放射诊疗、辐射安全许可；职业病体检、个人剂量与职业健康以及设备维保、年度监测与校验等。</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3、健康查体中的</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入所体检</w:t>
      </w:r>
      <w:r>
        <w:rPr>
          <w:rFonts w:hint="eastAsia" w:ascii="宋体" w:hAnsi="宋体" w:eastAsia="宋体" w:cs="宋体"/>
          <w:color w:val="auto"/>
          <w:szCs w:val="21"/>
          <w:highlight w:val="none"/>
          <w:lang w:val="en-US" w:eastAsia="zh-CN"/>
        </w:rPr>
        <w:t xml:space="preserve">”包括CT、血常规、心电图、血压</w:t>
      </w:r>
      <w:r>
        <w:rPr>
          <w:rFonts w:hint="eastAsia" w:ascii="宋体" w:hAnsi="宋体" w:eastAsia="宋体" w:cs="宋体"/>
          <w:color w:val="auto"/>
          <w:szCs w:val="21"/>
          <w:highlight w:val="none"/>
          <w:lang w:val="en-US" w:eastAsia="zh-CN"/>
        </w:rPr>
        <w:t xml:space="preserve">。上述体检均应尽快出具检测结果，并由主检医师对体检结果进行汇总评定，并按照</w:t>
      </w:r>
      <w:r>
        <w:rPr>
          <w:rFonts w:hint="eastAsia" w:ascii="宋体" w:hAnsi="宋体" w:eastAsia="宋体" w:cs="宋体"/>
          <w:color w:val="auto"/>
          <w:szCs w:val="21"/>
          <w:highlight w:val="none"/>
          <w:lang w:val="en-US" w:eastAsia="zh-CN"/>
        </w:rPr>
        <w:t xml:space="preserve">执法办案</w:t>
      </w:r>
      <w:r>
        <w:rPr>
          <w:rFonts w:hint="eastAsia" w:ascii="宋体" w:hAnsi="宋体" w:cs="宋体"/>
          <w:color w:val="auto"/>
          <w:szCs w:val="21"/>
          <w:highlight w:val="none"/>
          <w:lang w:val="en-US" w:eastAsia="zh-CN"/>
        </w:rPr>
        <w:t xml:space="preserve">管理</w:t>
      </w:r>
      <w:r>
        <w:rPr>
          <w:rFonts w:hint="eastAsia" w:ascii="宋体" w:hAnsi="宋体" w:eastAsia="宋体" w:cs="宋体"/>
          <w:color w:val="auto"/>
          <w:szCs w:val="21"/>
          <w:highlight w:val="none"/>
          <w:lang w:val="en-US" w:eastAsia="zh-CN"/>
        </w:rPr>
        <w:t xml:space="preserve">中心</w:t>
      </w:r>
      <w:r>
        <w:rPr>
          <w:rFonts w:hint="eastAsia" w:ascii="宋体" w:hAnsi="宋体" w:eastAsia="宋体" w:cs="宋体"/>
          <w:color w:val="auto"/>
          <w:szCs w:val="21"/>
          <w:highlight w:val="none"/>
          <w:lang w:val="en-US" w:eastAsia="zh-CN"/>
        </w:rPr>
        <w:t xml:space="preserve">相关规定，2小时内在制式体检表上给予书面意见。</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应保证派驻</w:t>
      </w:r>
      <w:r>
        <w:rPr>
          <w:rFonts w:hint="eastAsia" w:ascii="宋体" w:hAnsi="宋体" w:cs="宋体"/>
          <w:color w:val="auto"/>
          <w:szCs w:val="21"/>
          <w:highlight w:val="none"/>
          <w:lang w:val="en-US" w:eastAsia="zh-CN"/>
        </w:rPr>
        <w:t xml:space="preserve">执法办案管理中心</w:t>
      </w:r>
      <w:r>
        <w:rPr>
          <w:rFonts w:hint="eastAsia" w:ascii="宋体" w:hAnsi="宋体" w:eastAsia="宋体" w:cs="宋体"/>
          <w:color w:val="auto"/>
          <w:szCs w:val="21"/>
          <w:highlight w:val="none"/>
          <w:lang w:val="en-US" w:eastAsia="zh-CN"/>
        </w:rPr>
        <w:t xml:space="preserve">的医务人员有责任心，并了解“</w:t>
      </w:r>
      <w:r>
        <w:rPr>
          <w:rFonts w:hint="eastAsia" w:ascii="宋体" w:hAnsi="宋体" w:cs="宋体"/>
          <w:color w:val="auto"/>
          <w:szCs w:val="21"/>
          <w:highlight w:val="none"/>
          <w:lang w:val="en-US" w:eastAsia="zh-CN"/>
        </w:rPr>
        <w:t xml:space="preserve">入所体检</w:t>
      </w:r>
      <w:r>
        <w:rPr>
          <w:rFonts w:hint="eastAsia" w:ascii="宋体" w:hAnsi="宋体" w:eastAsia="宋体" w:cs="宋体"/>
          <w:color w:val="auto"/>
          <w:szCs w:val="21"/>
          <w:highlight w:val="none"/>
          <w:lang w:val="en-US" w:eastAsia="zh-CN"/>
        </w:rPr>
        <w:t xml:space="preserve">”相关制度规定和流程，确保该项工作的顺利进行。</w:t>
      </w:r>
      <w:r>
        <w:rPr>
          <w:rFonts w:hint="eastAsia" w:ascii="宋体" w:hAnsi="宋体" w:eastAsia="宋体" w:cs="宋体"/>
          <w:color w:val="auto"/>
          <w:szCs w:val="21"/>
          <w:highlight w:val="none"/>
          <w:lang w:val="en-US" w:eastAsia="zh-CN"/>
        </w:rPr>
        <w:t xml:space="preserve">派驻</w:t>
      </w:r>
      <w:r>
        <w:rPr>
          <w:rFonts w:hint="eastAsia" w:ascii="宋体" w:hAnsi="宋体" w:cs="宋体"/>
          <w:color w:val="auto"/>
          <w:szCs w:val="21"/>
          <w:highlight w:val="none"/>
          <w:lang w:val="en-US" w:eastAsia="zh-CN"/>
        </w:rPr>
        <w:t xml:space="preserve">执法办案管理中心</w:t>
      </w:r>
      <w:r>
        <w:rPr>
          <w:rFonts w:hint="eastAsia" w:ascii="宋体" w:hAnsi="宋体" w:eastAsia="宋体" w:cs="宋体"/>
          <w:color w:val="auto"/>
          <w:szCs w:val="21"/>
          <w:highlight w:val="none"/>
          <w:lang w:val="en-US" w:eastAsia="zh-CN"/>
        </w:rPr>
        <w:t xml:space="preserve">的医务人员可实行轮岗，但需提前做好工作交接，以避免因对相关规章制度不熟悉造成工作失误。</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应保证派驻</w:t>
      </w:r>
      <w:r>
        <w:rPr>
          <w:rFonts w:hint="eastAsia" w:ascii="宋体" w:hAnsi="宋体" w:cs="宋体"/>
          <w:color w:val="auto"/>
          <w:szCs w:val="21"/>
          <w:highlight w:val="none"/>
          <w:lang w:val="en-US" w:eastAsia="zh-CN"/>
        </w:rPr>
        <w:t xml:space="preserve">执法办案管理中心</w:t>
      </w:r>
      <w:r>
        <w:rPr>
          <w:rFonts w:hint="eastAsia" w:ascii="宋体" w:hAnsi="宋体" w:eastAsia="宋体" w:cs="宋体"/>
          <w:color w:val="auto"/>
          <w:szCs w:val="21"/>
          <w:highlight w:val="none"/>
          <w:lang w:val="en-US" w:eastAsia="zh-CN"/>
        </w:rPr>
        <w:t xml:space="preserve">的医务人员有严格的保密纪律意识，不私自为被体检的嫌疑人、被告人、被拘留人传递物品、信息，不和被体检的嫌疑人、被告人、被拘留人交谈与体检工作无关的内容，不做其他危害监管安全或违反</w:t>
      </w:r>
      <w:r>
        <w:rPr>
          <w:rFonts w:hint="eastAsia" w:ascii="宋体" w:hAnsi="宋体" w:cs="宋体"/>
          <w:color w:val="auto"/>
          <w:szCs w:val="21"/>
          <w:highlight w:val="none"/>
          <w:lang w:val="en-US" w:eastAsia="zh-CN"/>
        </w:rPr>
        <w:t xml:space="preserve">执法办案管理中心</w:t>
      </w:r>
      <w:r>
        <w:rPr>
          <w:rFonts w:hint="eastAsia" w:ascii="宋体" w:hAnsi="宋体" w:eastAsia="宋体" w:cs="宋体"/>
          <w:color w:val="auto"/>
          <w:szCs w:val="21"/>
          <w:highlight w:val="none"/>
          <w:lang w:val="en-US" w:eastAsia="zh-CN"/>
        </w:rPr>
        <w:t xml:space="preserve">规定的行为。</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当被送押的犯罪嫌疑人、被告人、被拘留人有创伤或其他特殊健康状况，由在场的主诊医师负责轻微外伤清创处理。若因非工作时间或设备受限等原因导致无法当场处理的，办案单位有权将该犯罪嫌疑人、被告人、被拘留人送至相应医疗机构进行相关项目的检查、治疗。</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应与相应医疗机构建立绿色通道机制，对上述办案单位送医院检查、治疗的人员给予优先处理，所产生的相关费用由嫌疑人支付，若费用数额相对较大，双方另行协商。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、办案单位将每季度对</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医疗服务质量进行考评，考评以百分制进行。当季考评得分高于</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（含）</w:t>
      </w:r>
      <w:r>
        <w:rPr>
          <w:rFonts w:hint="eastAsia" w:ascii="宋体" w:hAnsi="宋体" w:eastAsia="宋体" w:cs="宋体"/>
          <w:color w:val="auto"/>
          <w:szCs w:val="21"/>
          <w:highlight w:val="none"/>
          <w:lang w:val="en-US" w:eastAsia="zh-CN"/>
        </w:rPr>
        <w:t xml:space="preserve">的，则当季按照合同规定支付全部费用；若当季考评得分</w:t>
      </w:r>
      <w:r>
        <w:rPr>
          <w:rFonts w:hint="eastAsia" w:ascii="宋体" w:hAnsi="宋体" w:cs="宋体"/>
          <w:color w:val="auto"/>
          <w:szCs w:val="21"/>
          <w:highlight w:val="none"/>
          <w:lang w:val="en-US" w:eastAsia="zh-CN"/>
        </w:rPr>
        <w:t xml:space="preserve">80分（含）-9</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（不含）</w:t>
      </w:r>
      <w:r>
        <w:rPr>
          <w:rFonts w:hint="eastAsia" w:ascii="宋体" w:hAnsi="宋体" w:eastAsia="宋体" w:cs="宋体"/>
          <w:color w:val="auto"/>
          <w:szCs w:val="21"/>
          <w:highlight w:val="none"/>
          <w:lang w:val="en-US" w:eastAsia="zh-CN"/>
        </w:rPr>
        <w:t xml:space="preserve">的，则当季按照合同支付服务费用的</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0%；若当季考评得分</w:t>
      </w:r>
      <w:r>
        <w:rPr>
          <w:rFonts w:hint="eastAsia" w:ascii="宋体" w:hAnsi="宋体" w:cs="宋体"/>
          <w:color w:val="auto"/>
          <w:szCs w:val="21"/>
          <w:highlight w:val="none"/>
          <w:lang w:val="en-US" w:eastAsia="zh-CN"/>
        </w:rPr>
        <w:t xml:space="preserve">70分（含）-8</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（不含）</w:t>
      </w:r>
      <w:r>
        <w:rPr>
          <w:rFonts w:hint="eastAsia" w:ascii="宋体" w:hAnsi="宋体" w:eastAsia="宋体" w:cs="宋体"/>
          <w:color w:val="auto"/>
          <w:szCs w:val="21"/>
          <w:highlight w:val="none"/>
          <w:lang w:val="en-US" w:eastAsia="zh-CN"/>
        </w:rPr>
        <w:t xml:space="preserve">的，则当季按照合同支付服务费用的80%；若当季考评得分低于</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0分的，则可视作</w:t>
      </w:r>
      <w:r>
        <w:rPr>
          <w:rFonts w:hint="eastAsia" w:ascii="宋体" w:hAnsi="宋体" w:cs="宋体"/>
          <w:color w:val="auto"/>
          <w:szCs w:val="21"/>
          <w:highlight w:val="none"/>
          <w:lang w:val="en-US" w:eastAsia="zh-CN"/>
        </w:rPr>
        <w:t xml:space="preserve">成交</w:t>
      </w:r>
      <w:r>
        <w:rPr>
          <w:rFonts w:hint="eastAsia" w:ascii="宋体" w:hAnsi="宋体" w:eastAsia="宋体" w:cs="宋体"/>
          <w:color w:val="auto"/>
          <w:szCs w:val="21"/>
          <w:highlight w:val="none"/>
          <w:lang w:val="en-US" w:eastAsia="zh-CN"/>
        </w:rPr>
        <w:t xml:space="preserve">单位违约。执法办案中心将保留追究违约的权利。考评内容详见附件</w:t>
      </w:r>
      <w:r>
        <w:rPr>
          <w:rFonts w:hint="eastAsia" w:ascii="宋体" w:hAnsi="宋体" w:eastAsia="宋体" w:cs="宋体"/>
          <w:color w:val="auto"/>
          <w:szCs w:val="21"/>
          <w:highlight w:val="none"/>
          <w:lang w:val="en-US" w:eastAsia="zh-CN"/>
        </w:rPr>
        <w:t xml:space="preserve">《执法办案管理中心医疗服务质量考评细则》</w:t>
      </w:r>
      <w:r>
        <w:rPr>
          <w:rFonts w:hint="eastAsia" w:ascii="宋体" w:hAnsi="宋体" w:eastAsia="宋体" w:cs="宋体"/>
          <w:color w:val="auto"/>
          <w:szCs w:val="21"/>
          <w:highlight w:val="none"/>
          <w:lang w:val="en-US" w:eastAsia="zh-CN"/>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en-US" w:eastAsia="zh-CN"/>
        </w:rPr>
        <w:t xml:space="preserve">人员配置要求：</w:t>
      </w:r>
      <w:r>
        <w:rPr>
          <w:color w:val="auto"/>
          <w:highlight w:val="none"/>
        </w:rPr>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本项目需配备项目负责人1位；主治医师岗1位，总揽所内医疗工作；技师岗2位，负责放射、检验等工作；护士长岗2位，负责日常工作。</w:t>
      </w:r>
      <w:r>
        <w:rPr>
          <w:color w:val="auto"/>
          <w:highlight w:val="none"/>
        </w:rPr>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cs="宋体"/>
          <w:color w:val="auto"/>
          <w:szCs w:val="21"/>
          <w:highlight w:val="none"/>
          <w:lang w:val="en-US" w:eastAsia="zh-CN"/>
        </w:rPr>
        <w:t xml:space="preserve">六、综合说明及其它要求</w:t>
      </w:r>
      <w:r>
        <w:rPr>
          <w:rFonts w:hint="eastAsia" w:ascii="宋体" w:hAnsi="宋体" w:cs="宋体"/>
          <w:b w:val="0"/>
          <w:bCs w:val="0"/>
          <w:color w:val="auto"/>
          <w:highlight w:val="none"/>
          <w:lang w:val="en-US" w:eastAsia="zh-CN"/>
        </w:rPr>
        <w:t xml:space="preserve">：</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1、本项目为综合报价，包括但不限于完成该项工作所需的所有医务技术人员的工资、税金、国家规定的社保、通讯费、设备费、检验、化验、打印、配套系统使用费、</w:t>
      </w:r>
      <w:r>
        <w:rPr>
          <w:rFonts w:hint="eastAsia" w:ascii="宋体" w:hAnsi="宋体" w:cs="宋体"/>
          <w:color w:val="auto"/>
          <w:highlight w:val="none"/>
          <w:lang w:val="en-US" w:eastAsia="zh-CN"/>
        </w:rPr>
        <w:t xml:space="preserve">药品、</w:t>
      </w:r>
      <w:r>
        <w:rPr>
          <w:rFonts w:hint="eastAsia" w:ascii="宋体" w:hAnsi="宋体" w:cs="宋体"/>
          <w:color w:val="auto"/>
          <w:highlight w:val="none"/>
          <w:lang w:val="en-US" w:eastAsia="zh-CN"/>
        </w:rPr>
        <w:t xml:space="preserve">各类耗材费用等全部费用以及采购代理服务费、成交单位企业利润和政策性文件规定及合同包含的所有风险、责任等各项应有费用。</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2、成交单位须为本项目配备的所有医务技术人员按规定国家相关法律法规缴纳社会保险等，若医务技术人员在服务期间内出现的工伤及其他意外事故，均由成交单位自行负责，采购单位不承担任何责任。</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3、若成交单位在人员外包服务管理期间，违反下列规定将被解除人员外包服务合同：</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 （1）严禁将承包的人员外包服务转包他人；</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 （2）未按照国家劳动法规定聘用服务人员；</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 （3）医务技术人员的人员工资、社保等不得低于本地区最新公布的最低标准。</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成交单位，合同内容经双方协商调整直至终止。</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5、采购单位有权检查监督成交单位人员外包服务质量，对不称职的医务技术人员有权要求成交单位在规定时间内更换，直至人选合格为止。</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七</w:t>
      </w:r>
      <w:r>
        <w:rPr>
          <w:rFonts w:hint="eastAsia" w:ascii="宋体" w:hAnsi="宋体" w:eastAsia="宋体" w:cs="宋体"/>
          <w:b w:val="0"/>
          <w:bCs w:val="0"/>
          <w:color w:val="auto"/>
          <w:szCs w:val="21"/>
          <w:highlight w:val="none"/>
        </w:rPr>
        <w:t xml:space="preserve">、磋商文件的澄清和修改</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更正公告的形式网上通知所有获取磋商文件的供应商；不足5日的，采购人、采购代理机构应当顺延提交首次响应文件截止时间。</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2、磋商文件的澄清、修改等内容与磋商文件在同一内容的表述上不一致时，以发出日期最接近磋商时间的公告为准。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3、磋商文件的澄清、修改等内容均将在财政部门指定的政府采购信息发布媒体上发布，作为磋商文件的组成部分，对供应商起约束作用。</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eastAsia="zh-CN"/>
        </w:rPr>
        <w:t xml:space="preserve">八</w:t>
      </w:r>
      <w:r>
        <w:rPr>
          <w:rFonts w:hint="eastAsia" w:ascii="宋体" w:hAnsi="宋体" w:eastAsia="宋体" w:cs="宋体"/>
          <w:b w:val="0"/>
          <w:bCs w:val="0"/>
          <w:color w:val="auto"/>
          <w:szCs w:val="21"/>
          <w:highlight w:val="none"/>
        </w:rPr>
        <w:t xml:space="preserve">、电子响应文件的组成和顺序</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（一）网上响应文件组成：</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1、目录</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开标一览表</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zh-CN"/>
        </w:rPr>
        <w:t xml:space="preserve">、资格审查响应文件</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rPr>
          <w:rFonts w:hint="eastAsia" w:ascii="宋体" w:hAnsi="宋体" w:eastAsia="宋体" w:cs="宋体"/>
          <w:color w:val="auto"/>
          <w:szCs w:val="21"/>
          <w:highlight w:val="none"/>
        </w:rPr>
        <w:t xml:space="preserve">包括法人应提供包括但不限于最近一期</w:t>
      </w:r>
      <w:r>
        <w:rPr>
          <w:rFonts w:hint="eastAsia" w:ascii="宋体" w:hAnsi="宋体" w:cs="宋体"/>
          <w:color w:val="auto"/>
          <w:szCs w:val="21"/>
          <w:highlight w:val="none"/>
          <w:lang w:eastAsia="zh-CN"/>
        </w:rPr>
        <w:t xml:space="preserve">的财务审计报告（2023年度或2024年度）</w:t>
      </w:r>
      <w:r>
        <w:rPr>
          <w:rFonts w:hint="eastAsia" w:ascii="宋体" w:hAnsi="宋体" w:eastAsia="宋体" w:cs="宋体"/>
          <w:color w:val="auto"/>
          <w:szCs w:val="21"/>
          <w:highlight w:val="none"/>
        </w:rPr>
        <w:t xml:space="preserve">或最近一期（202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年1月以来任意一期）财务报表（至少包括资产负债表、利润表），其他组织、自然人及成立未满一年的法人应提供银行出具的资信证明（加盖公章）</w:t>
      </w:r>
      <w:r>
        <w:rPr>
          <w:rFonts w:hint="eastAsia" w:ascii="宋体" w:hAnsi="宋体" w:cs="宋体"/>
          <w:bCs/>
          <w:color w:val="auto"/>
          <w:szCs w:val="21"/>
          <w:highlight w:val="none"/>
        </w:rPr>
        <w:t xml:space="preserve">；</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有依法缴纳税收和社会保障资金的良好记录。提供参加本次采购活动前依法缴纳税收的凭据和依法缴纳社会保险的凭据（专用收据或社会保险缴纳清单），依法免税或不需要缴纳社会保险的供应商，应提供对应证明文件复印件（加盖公章）；</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rPr>
          <w:color w:val="auto"/>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3.5参加政府采购活动前三年内在经营活动中没有重大违法记录的书面声明；</w:t>
      </w:r>
      <w:r>
        <w:rPr>
          <w:rFonts w:hint="eastAsia" w:ascii="宋体" w:hAnsi="宋体" w:cs="宋体"/>
          <w:bCs/>
          <w:color w:val="auto"/>
          <w:szCs w:val="21"/>
          <w:highlight w:val="none"/>
        </w:rPr>
      </w:r>
      <w:r/>
    </w:p>
    <w:p>
      <w:pPr>
        <w:ind w:left="0"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color w:val="auto"/>
          <w:szCs w:val="21"/>
          <w:highlight w:val="none"/>
          <w:lang w:val="en-US" w:eastAsia="zh-CN"/>
        </w:rPr>
        <w:t xml:space="preserve">3.6</w:t>
      </w:r>
      <w:r>
        <w:rPr>
          <w:rFonts w:hint="eastAsia" w:ascii="宋体" w:hAnsi="宋体" w:cs="宋体"/>
          <w:color w:val="auto"/>
          <w:szCs w:val="21"/>
          <w:highlight w:val="none"/>
        </w:rPr>
        <w:t xml:space="preserve">本项目的特定资格</w:t>
      </w:r>
      <w:r>
        <w:rPr>
          <w:rFonts w:hint="eastAsia" w:ascii="宋体" w:hAnsi="宋体" w:cs="宋体"/>
          <w:color w:val="auto"/>
          <w:szCs w:val="21"/>
          <w:highlight w:val="none"/>
          <w:lang w:val="en-US" w:eastAsia="zh-CN"/>
        </w:rPr>
        <w:t xml:space="preserve">证明资料（如有）</w:t>
      </w:r>
      <w:r>
        <w:rPr>
          <w:rFonts w:hint="eastAsia" w:ascii="宋体" w:hAnsi="宋体" w:eastAsia="宋体" w:cs="宋体"/>
          <w:b w:val="0"/>
          <w:bCs w:val="0"/>
          <w:color w:val="auto"/>
          <w:szCs w:val="21"/>
          <w:highlight w:val="none"/>
        </w:rPr>
        <w:t xml:space="preserve">；</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zh-CN"/>
        </w:rPr>
        <w:t xml:space="preserve">、符合性审查响应文件</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4.1磋商响应函；</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4.2供应商法定代表人身份证复印件；</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4.3法定代表人授权委托书（如有授权）；</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4.4供应商代理人身份证复印件（如有授权）；</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4.5★投标（响应）保证承诺书（必须提供，不提供为无效响应）；</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4.6偏离表（商务条款偏离表、服务条款偏离表）；</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4.7供应商情况表；</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4.8★实质性条款（如需实质性承诺等条款）；</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其他有关符合性证明的文件</w:t>
      </w:r>
      <w:r>
        <w:rPr>
          <w:rFonts w:hint="eastAsia" w:ascii="宋体" w:hAnsi="宋体" w:eastAsia="宋体" w:cs="宋体"/>
          <w:color w:val="auto"/>
          <w:szCs w:val="21"/>
          <w:highlight w:val="none"/>
          <w:lang w:val="zh-CN"/>
        </w:rPr>
        <w:t xml:space="preserve">；</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Cs w:val="21"/>
          <w:highlight w:val="none"/>
        </w:rPr>
      </w:r>
      <w:r>
        <w:rPr>
          <w:rFonts w:hint="eastAsia" w:ascii="宋体" w:hAnsi="宋体" w:cs="宋体"/>
          <w:bCs/>
          <w:color w:val="auto"/>
          <w:szCs w:val="21"/>
          <w:highlight w:val="none"/>
        </w:rPr>
        <w:t xml:space="preserve">4.10关于资格文件的声明函</w:t>
      </w:r>
      <w:r>
        <w:rPr>
          <w:rFonts w:hint="eastAsia" w:ascii="宋体" w:hAnsi="宋体" w:cs="宋体"/>
          <w:bCs/>
          <w:color w:val="auto"/>
          <w:szCs w:val="21"/>
          <w:highlight w:val="none"/>
          <w:lang w:eastAsia="zh-CN"/>
        </w:rPr>
        <w:t xml:space="preserve">；</w:t>
      </w:r>
      <w:r>
        <w:rPr>
          <w:rFonts w:hint="eastAsia" w:ascii="宋体" w:hAnsi="宋体" w:eastAsia="宋体" w:cs="宋体"/>
          <w:b/>
          <w:bCs/>
          <w:color w:val="auto"/>
          <w:szCs w:val="21"/>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val="zh-CN"/>
        </w:rPr>
        <w:t xml:space="preserve">、综合评审响应文件</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5.1项目服务方案</w:t>
      </w:r>
      <w:r>
        <w:rPr>
          <w:rFonts w:hint="eastAsia" w:ascii="宋体" w:hAnsi="宋体" w:eastAsia="宋体" w:cs="宋体"/>
          <w:color w:val="auto"/>
          <w:szCs w:val="21"/>
          <w:highlight w:val="none"/>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5.2</w:t>
      </w:r>
      <w:r>
        <w:rPr>
          <w:rFonts w:hint="eastAsia" w:ascii="宋体" w:hAnsi="宋体" w:eastAsia="宋体" w:cs="宋体"/>
          <w:color w:val="auto"/>
          <w:szCs w:val="21"/>
          <w:highlight w:val="none"/>
        </w:rPr>
        <w:t xml:space="preserve">项目人员配置情况；</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5.3</w:t>
      </w:r>
      <w:r>
        <w:rPr>
          <w:rFonts w:hint="eastAsia" w:ascii="宋体" w:hAnsi="宋体" w:eastAsia="宋体" w:cs="宋体"/>
          <w:color w:val="auto"/>
          <w:szCs w:val="21"/>
          <w:highlight w:val="none"/>
        </w:rPr>
        <w:t xml:space="preserve">供应商综合</w:t>
      </w:r>
      <w:r>
        <w:rPr>
          <w:rFonts w:hint="eastAsia" w:ascii="宋体" w:hAnsi="宋体" w:cs="宋体"/>
          <w:color w:val="auto"/>
          <w:szCs w:val="21"/>
          <w:highlight w:val="none"/>
          <w:lang w:val="en-US" w:eastAsia="zh-CN"/>
        </w:rPr>
        <w:t xml:space="preserve">评价</w:t>
      </w:r>
      <w:r>
        <w:rPr>
          <w:rFonts w:hint="eastAsia" w:ascii="宋体" w:hAnsi="宋体" w:eastAsia="宋体" w:cs="宋体"/>
          <w:color w:val="auto"/>
          <w:szCs w:val="21"/>
          <w:highlight w:val="none"/>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5.4</w:t>
      </w:r>
      <w:r>
        <w:rPr>
          <w:rFonts w:hint="eastAsia" w:ascii="宋体" w:hAnsi="宋体" w:eastAsia="宋体" w:cs="宋体"/>
          <w:color w:val="auto"/>
          <w:szCs w:val="21"/>
          <w:highlight w:val="none"/>
          <w:lang w:val="zh-CN"/>
        </w:rPr>
        <w:t xml:space="preserve">与本次采购相关的其他证明材料；</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6、价格折扣响应文件</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Cs/>
          <w:color w:val="auto"/>
          <w:sz w:val="21"/>
          <w:szCs w:val="21"/>
          <w:highlight w:val="none"/>
          <w:lang w:val="en-US" w:eastAsia="zh-CN" w:bidi="ar-SA"/>
        </w:rPr>
        <w:t xml:space="preserve">6.1《中小企业声明函》或《残疾人福利性单位声明函》或由省级以上监狱管理局、戒毒管理局（含新疆生产建设兵团）出具的属于监狱企业的证明文件</w:t>
      </w:r>
      <w:r>
        <w:rPr>
          <w:rFonts w:hint="eastAsia" w:ascii="宋体" w:hAnsi="宋体" w:eastAsia="宋体" w:cs="宋体"/>
          <w:b w:val="0"/>
          <w:bCs w:val="0"/>
          <w:color w:val="auto"/>
          <w:szCs w:val="21"/>
          <w:highlight w:val="none"/>
          <w:lang w:val="zh-CN"/>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rPr>
          <w:color w:val="auto"/>
          <w:highlight w:val="none"/>
        </w:rPr>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b/>
          <w:bCs/>
          <w:color w:val="auto"/>
          <w:highlight w:val="none"/>
        </w:rPr>
        <w:t xml:space="preserve">磋商响应文件由1、2、3、4、5和6款规定的内容共同组成。供应商必须提交上述3、4、6款规定的资料，并须按照“响应文件组成”将相关材料上传至相应模块，否则视为无效，对应项不得分。否则，响应文件将因资格性条件不符或未实质性响应采购文件而被拒绝。</w:t>
      </w:r>
      <w:r>
        <w:rPr>
          <w:color w:val="auto"/>
          <w:highlight w:val="none"/>
        </w:rPr>
      </w:r>
      <w:r/>
    </w:p>
    <w:p>
      <w:pPr>
        <w:numPr>
          <w:ilvl w:val="0"/>
          <w:numId w:val="3"/>
        </w:num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（二）</w:t>
      </w:r>
      <w:r>
        <w:rPr>
          <w:rFonts w:hint="eastAsia" w:ascii="宋体" w:hAnsi="宋体" w:eastAsia="宋体" w:cs="宋体"/>
          <w:color w:val="auto"/>
          <w:szCs w:val="21"/>
          <w:highlight w:val="none"/>
        </w:rPr>
        <w:t xml:space="preserve">网上响应文件的制作</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本项目采用电子招投标形式</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请供应商按照《苏采云系统供应商操作手册》</w:t>
      </w:r>
      <w:r>
        <w:rPr>
          <w:rFonts w:hint="eastAsia" w:ascii="宋体" w:hAnsi="宋体" w:eastAsia="宋体" w:cs="宋体"/>
          <w:color w:val="auto"/>
          <w:szCs w:val="21"/>
          <w:highlight w:val="none"/>
        </w:rPr>
        <w:t xml:space="preserve">（https://czju.suzhou.gov.cn/zfcg/html/content/20231220161910031.shtml）</w:t>
      </w:r>
      <w:r>
        <w:rPr>
          <w:rFonts w:hint="eastAsia" w:ascii="宋体" w:hAnsi="宋体" w:eastAsia="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zh-CN"/>
        </w:rPr>
        <w:t xml:space="preserve">、网上响应文件附件如无法加盖电子签章，请上传清晰的盖有公章的扫描件。</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、全套响应文件应无涂改和行间插字，除非这些删改是根据磋商采购</w:t>
      </w:r>
      <w:r>
        <w:rPr>
          <w:rFonts w:hint="eastAsia" w:ascii="宋体" w:hAnsi="宋体" w:eastAsia="宋体" w:cs="宋体"/>
          <w:color w:val="auto"/>
          <w:szCs w:val="21"/>
          <w:highlight w:val="none"/>
        </w:rPr>
        <w:t xml:space="preserve">人</w:t>
      </w:r>
      <w:r>
        <w:rPr>
          <w:rFonts w:hint="eastAsia" w:ascii="宋体" w:hAnsi="宋体" w:eastAsia="宋体" w:cs="宋体"/>
          <w:color w:val="auto"/>
          <w:szCs w:val="21"/>
          <w:highlight w:val="none"/>
          <w:lang w:val="zh-CN"/>
        </w:rPr>
        <w:t xml:space="preserve">指示进行的,或者是供应商造成的必须修改的错误。但修改处应由供应商法定代表人（负责人）或授权代表签字证明。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网上响应文件请按磋商文件要求的响应文件的组成要求进行制作。本项目采用网上报名、网上提交响应文件，未使用上述方式将导致无法报名或响应失败。</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、响应文件组成部分中如</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文件已给定格式的，</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按给定格式提供，不得更改，如必须更改时，须另行制作偏离说明，并作为响应文件的组成部分。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、一经</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，除非供应商在响应文件中对</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文件的规定或条款有书面偏离或保留，否则应视为其全部接受和遵守。同时无论</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是否成交，其响应文件恕不退还。</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、采购人或采购代理机构无论出于自己的考虑，还是出于对供应商提问的澄清，均可对</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文件用更正公告的方式进行修改。</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val="zh-CN"/>
        </w:rPr>
        <w:t xml:space="preserve">★响应文件计量单位和使用文字</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响应文件中所使用的计量单位，除</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文件中有特</w:t>
      </w:r>
      <w:r>
        <w:rPr>
          <w:rFonts w:hint="eastAsia" w:ascii="宋体" w:hAnsi="宋体" w:eastAsia="宋体" w:cs="宋体"/>
          <w:color w:val="auto"/>
          <w:szCs w:val="21"/>
          <w:highlight w:val="none"/>
        </w:rPr>
        <w:t xml:space="preserve">殊要求外，均应使用中华人民共和国法定计量单位。</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（2）响应文件应使用中文编制，响应文件中使用其他文字的，必须附有中文译本，且以中文译本为准。对于未附有中文译本和中文译本不准确的响应文件可能引起的对供应商不利的后果，磋商采购人概不负责。</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10.报价（编制）要求的说明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（1）磋商报价应包括完成该项服务全部内容的一切费用。</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（2）磋商供应商应按《响应报价分析表》中的全部项目计算单价和总价。《响应报价分析表》中的每一单项均应计算并填写单价和总价，并由法定代表人或代理人签署。（如有要求）</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TW" w:eastAsia="zh-TW"/>
        </w:rPr>
        <w:t xml:space="preserve">本次竞争性磋商不分采购单元，各供应商须对全部内容进行响应报价，</w:t>
      </w:r>
      <w:r>
        <w:rPr>
          <w:rFonts w:hint="eastAsia" w:ascii="宋体" w:hAnsi="宋体" w:eastAsia="宋体" w:cs="宋体"/>
          <w:color w:val="auto"/>
          <w:szCs w:val="21"/>
          <w:highlight w:val="none"/>
        </w:rPr>
        <w:t xml:space="preserve">只投其中部分内容者，其响应文件将被拒绝。</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（4）一项磋商内容只允许一个报价，采购代理机构不接受任何有选择性的响应报价。</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（5）响应文件报价中的单价和总价全部采用人民币表示，除非合同的特殊条款另有规定。</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w:t>
      </w:r>
      <w:r>
        <w:rPr>
          <w:rFonts w:hint="eastAsia" w:ascii="宋体" w:hAnsi="宋体" w:eastAsia="宋体" w:cs="宋体"/>
          <w:b/>
          <w:bCs/>
          <w:color w:val="auto"/>
          <w:szCs w:val="21"/>
          <w:highlight w:val="none"/>
          <w:lang w:val="zh-CN"/>
        </w:rPr>
        <w:t xml:space="preserve">文件的递交</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（一）响应截止时间</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1、网上响应文件必须在响应截止时间前提交，逾期提交响应文件的，采购单位拒绝接收。</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2、采购人或者采购代理机构推迟磋商截止时间时，应以更正公告的形式，通知所有供应商。在这种情况下，采购代理人和供应商的权利和义务将受到新的截止期的约束。    </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（二）响应文件的补充、修改或者撤回</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1、响应文件的修改应在磋商截止时间前进行。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2、磋商开始时间后至磋商截止时间前，供应商可以撤回投标。</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3、磋商截止时间后供应商不得撤回投标。否则按投标（响应）保证承诺书中承诺履行违约赔偿。</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、响应无效和项目的终止</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（一）供应商存在下列情况之一的，响应无效：</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1、响应文件签署、盖章不符合磋商文件规定要求的；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2、供应商不具备磋商文件中规定资格条件的；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3、报价超过磋商文件中规定的预算金额或者最高限价的；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4、未按要求提供投标（响应）保证承诺书；</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5、响应文件含有采购人不能接受的附加条件；</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6、因磋商供应商自身原因导致网上磋商响应文件无法递交的其他情况；</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7、不符合法律法规和磋商文件中规定的其他实质性要求的；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8、法律法规及本磋商文件规定的其他无效的情形。</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情形之一的，视为磋商供应商恶意串通，磋商小组应当认定其响应无效，并书面报告本级财政部门。</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1、不同供应商的响应文件由同一单位或者个人编制；</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2、不同供应商委托同一单位或者个人办理磋商事宜；</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3、不同供应商的响应文件载明的项目管理成员或者联系人员为同一人；</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4、不同供应商的响应文件异常一致或者报价呈规律性差异；</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5、不同供应商的响应文件制作机器码一致。</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（三）项目的终止</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出现下列情形之一的，采购代理机构将终止竞争性磋商采购活动，发布项目终止公告并说明原因，重新开展采购活动：</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1、因情况变化，不再符合规定的竞争性磋商采购人适用情形的；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3、磋商小组认定磋商文件存在歧义、重大缺陷导致评审工作无法进行；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4、因苏采云系统故障原因造成开标不成功的。</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十一</w:t>
      </w:r>
      <w:r>
        <w:rPr>
          <w:rFonts w:hint="eastAsia" w:ascii="宋体" w:hAnsi="宋体" w:eastAsia="宋体" w:cs="宋体"/>
          <w:b/>
          <w:bCs/>
          <w:color w:val="auto"/>
          <w:szCs w:val="21"/>
          <w:highlight w:val="none"/>
        </w:rPr>
        <w:t xml:space="preserve">、综合说明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本次竞争性磋商不分采购单元，各供应商须对全部内容进行响应报价，但不得出现选择性报价。</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TW" w:eastAsia="zh-TW"/>
        </w:rPr>
        <w:t xml:space="preserve">采购代理服务费</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val="zh-TW"/>
        </w:rPr>
        <w:t xml:space="preserve">领取成交通知时</w:t>
      </w:r>
      <w:r>
        <w:rPr>
          <w:rFonts w:hint="eastAsia" w:ascii="宋体" w:hAnsi="宋体" w:cs="宋体"/>
          <w:color w:val="auto"/>
          <w:sz w:val="21"/>
          <w:szCs w:val="21"/>
          <w:highlight w:val="none"/>
          <w:u w:val="none"/>
          <w:lang w:val="zh-TW" w:eastAsia="zh-CN"/>
        </w:rPr>
        <w:t xml:space="preserve">成交单位</w:t>
      </w:r>
      <w:r>
        <w:rPr>
          <w:rFonts w:hint="eastAsia" w:ascii="宋体" w:hAnsi="宋体" w:eastAsia="宋体" w:cs="宋体"/>
          <w:color w:val="auto"/>
          <w:sz w:val="21"/>
          <w:szCs w:val="21"/>
          <w:highlight w:val="none"/>
          <w:u w:val="none"/>
          <w:lang w:val="zh-TW"/>
        </w:rPr>
        <w:t xml:space="preserve">向</w:t>
      </w:r>
      <w:r>
        <w:rPr>
          <w:rFonts w:hint="eastAsia" w:ascii="宋体" w:hAnsi="宋体" w:eastAsia="宋体" w:cs="宋体"/>
          <w:color w:val="auto"/>
          <w:sz w:val="21"/>
          <w:szCs w:val="21"/>
          <w:highlight w:val="none"/>
          <w:u w:val="none"/>
        </w:rPr>
        <w:t xml:space="preserve">采购</w:t>
      </w:r>
      <w:r>
        <w:rPr>
          <w:rFonts w:hint="eastAsia" w:ascii="宋体" w:hAnsi="宋体" w:eastAsia="宋体" w:cs="宋体"/>
          <w:color w:val="auto"/>
          <w:sz w:val="21"/>
          <w:szCs w:val="21"/>
          <w:highlight w:val="none"/>
          <w:u w:val="none"/>
          <w:lang w:val="zh-TW"/>
        </w:rPr>
        <w:t xml:space="preserve">代理机构支付服务费。其收取标准按预算金额100万元以下费率为预算金额的1.5%；预算金额100万元-500万元费率为预算金额的1.1%；预算金额500万元-1000万元费率为预算金额的0.8%的差额定率累进法计算收取；最低收费4000元。本项目采购代理服务费为：</w:t>
      </w:r>
      <w:r>
        <w:rPr>
          <w:rFonts w:hint="eastAsia" w:ascii="宋体" w:hAnsi="宋体" w:eastAsia="宋体" w:cs="宋体"/>
          <w:color w:val="auto"/>
          <w:sz w:val="21"/>
          <w:szCs w:val="21"/>
          <w:highlight w:val="none"/>
          <w:u w:val="none"/>
          <w:lang w:val="zh-TW"/>
        </w:rPr>
        <w:t xml:space="preserve">人民币</w:t>
      </w:r>
      <w:r>
        <w:rPr>
          <w:rFonts w:hint="eastAsia" w:ascii="宋体" w:hAnsi="宋体" w:cs="宋体"/>
          <w:color w:val="auto"/>
          <w:sz w:val="21"/>
          <w:szCs w:val="21"/>
          <w:highlight w:val="none"/>
          <w:u w:val="none"/>
          <w:lang w:val="zh-TW" w:eastAsia="zh-CN"/>
        </w:rPr>
        <w:t xml:space="preserve">贰万陆仟元整</w:t>
      </w:r>
      <w:r>
        <w:rPr>
          <w:rFonts w:hint="eastAsia" w:ascii="宋体" w:hAnsi="宋体" w:eastAsia="宋体" w:cs="宋体"/>
          <w:color w:val="auto"/>
          <w:sz w:val="21"/>
          <w:szCs w:val="21"/>
          <w:highlight w:val="none"/>
          <w:u w:val="none"/>
          <w:lang w:val="zh-TW"/>
        </w:rPr>
        <w:t xml:space="preserve">（￥</w:t>
      </w:r>
      <w:r>
        <w:rPr>
          <w:rFonts w:hint="eastAsia" w:ascii="宋体" w:hAnsi="宋体" w:cs="宋体"/>
          <w:color w:val="auto"/>
          <w:sz w:val="21"/>
          <w:szCs w:val="21"/>
          <w:highlight w:val="none"/>
          <w:u w:val="none"/>
          <w:lang w:val="zh-TW" w:eastAsia="zh-CN"/>
        </w:rPr>
        <w:t xml:space="preserve">26000.00</w:t>
      </w:r>
      <w:r>
        <w:rPr>
          <w:rFonts w:hint="eastAsia" w:ascii="宋体" w:hAnsi="宋体" w:eastAsia="宋体" w:cs="宋体"/>
          <w:color w:val="auto"/>
          <w:sz w:val="21"/>
          <w:szCs w:val="21"/>
          <w:highlight w:val="none"/>
          <w:u w:val="none"/>
          <w:lang w:val="zh-TW"/>
        </w:rPr>
        <w:t xml:space="preserve">）</w:t>
      </w:r>
      <w:r>
        <w:rPr>
          <w:rFonts w:hint="eastAsia" w:ascii="宋体" w:hAnsi="宋体" w:eastAsia="宋体" w:cs="宋体"/>
          <w:color w:val="auto"/>
          <w:sz w:val="21"/>
          <w:szCs w:val="21"/>
          <w:highlight w:val="none"/>
          <w:u w:val="none"/>
          <w:lang w:val="zh-TW"/>
        </w:rPr>
        <w:t xml:space="preserve">；采购代理服务费由成交单位支付，请各供应商在报价时予以综合考虑。</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服务费交纳</w:t>
      </w:r>
      <w:r>
        <w:rPr>
          <w:rFonts w:hint="eastAsia" w:ascii="宋体" w:hAnsi="宋体" w:eastAsia="宋体" w:cs="宋体"/>
          <w:color w:val="auto"/>
          <w:szCs w:val="21"/>
          <w:highlight w:val="none"/>
          <w:lang w:val="zh-TW"/>
        </w:rPr>
        <w:t xml:space="preserve">账</w:t>
      </w:r>
      <w:r>
        <w:rPr>
          <w:rFonts w:hint="eastAsia" w:ascii="宋体" w:hAnsi="宋体" w:eastAsia="宋体" w:cs="宋体"/>
          <w:color w:val="auto"/>
          <w:szCs w:val="21"/>
          <w:highlight w:val="none"/>
          <w:lang w:val="zh-TW" w:eastAsia="zh-TW"/>
        </w:rPr>
        <w:t xml:space="preserve">户：苏州市宇杰工程技术服务咨询有限公司</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rPr>
        <w:t xml:space="preserve">账</w:t>
      </w:r>
      <w:r>
        <w:rPr>
          <w:rFonts w:hint="eastAsia" w:ascii="宋体" w:hAnsi="宋体" w:eastAsia="宋体" w:cs="宋体"/>
          <w:color w:val="auto"/>
          <w:szCs w:val="21"/>
          <w:highlight w:val="none"/>
          <w:lang w:val="zh-TW" w:eastAsia="zh-TW"/>
        </w:rPr>
        <w:t xml:space="preserve">号：8112001014900418757</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开户银行：中信银行吴江支行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rPr>
        <w:t xml:space="preserve">成交供应商</w:t>
      </w:r>
      <w:r>
        <w:rPr>
          <w:rFonts w:hint="eastAsia" w:ascii="宋体" w:hAnsi="宋体" w:eastAsia="宋体" w:cs="宋体"/>
          <w:color w:val="auto"/>
          <w:szCs w:val="21"/>
          <w:highlight w:val="none"/>
        </w:rPr>
        <w:t xml:space="preserve">如果未按磋商文件规定支付采购代理服务费，对</w:t>
      </w:r>
      <w:r>
        <w:rPr>
          <w:rFonts w:hint="eastAsia" w:ascii="宋体" w:hAnsi="宋体" w:eastAsia="宋体" w:cs="宋体"/>
          <w:color w:val="auto"/>
          <w:szCs w:val="21"/>
          <w:highlight w:val="none"/>
          <w:lang w:val="zh-TW"/>
        </w:rPr>
        <w:t xml:space="preserve">成交供应商</w:t>
      </w:r>
      <w:r>
        <w:rPr>
          <w:rFonts w:hint="eastAsia" w:ascii="宋体" w:hAnsi="宋体" w:eastAsia="宋体" w:cs="宋体"/>
          <w:color w:val="auto"/>
          <w:szCs w:val="21"/>
          <w:highlight w:val="none"/>
        </w:rPr>
        <w:t xml:space="preserve">按投标（响应）保证承诺书中承诺履行违约赔偿，且采购代理单位将保留诉讼的权利。</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lang w:val="zh-TW" w:eastAsia="zh-TW"/>
        </w:rPr>
        <w:t xml:space="preserve">磋商说明：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1、网上报名不成功或者不符合供应商资格要求的响应文件将被拒绝；</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不得少于2家），磋商采购失败。</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zh-TW" w:eastAsia="zh-TW"/>
        </w:rPr>
        <w:t xml:space="preserve">、★响应文件的有效期</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rPr>
        <w:t xml:space="preserve">）</w:t>
      </w:r>
      <w:r>
        <w:rPr>
          <w:rFonts w:hint="eastAsia" w:ascii="宋体" w:hAnsi="宋体" w:eastAsia="宋体" w:cs="宋体"/>
          <w:b/>
          <w:bCs/>
          <w:color w:val="auto"/>
          <w:szCs w:val="21"/>
          <w:highlight w:val="none"/>
          <w:lang w:val="zh-TW" w:eastAsia="zh-TW"/>
        </w:rPr>
        <w:t xml:space="preserve">自</w:t>
      </w:r>
      <w:r>
        <w:rPr>
          <w:rFonts w:hint="eastAsia" w:ascii="宋体" w:hAnsi="宋体" w:eastAsia="宋体" w:cs="宋体"/>
          <w:b/>
          <w:bCs/>
          <w:color w:val="auto"/>
          <w:szCs w:val="21"/>
          <w:highlight w:val="none"/>
        </w:rPr>
        <w:t xml:space="preserve">磋商</w:t>
      </w:r>
      <w:r>
        <w:rPr>
          <w:rFonts w:hint="eastAsia" w:ascii="宋体" w:hAnsi="宋体" w:eastAsia="宋体" w:cs="宋体"/>
          <w:b/>
          <w:bCs/>
          <w:color w:val="auto"/>
          <w:szCs w:val="21"/>
          <w:highlight w:val="none"/>
          <w:lang w:val="zh-TW" w:eastAsia="zh-TW"/>
        </w:rPr>
        <w:t xml:space="preserve">日起</w:t>
      </w: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val="zh-TW" w:eastAsia="zh-TW"/>
        </w:rPr>
        <w:t xml:space="preserve">0天</w:t>
      </w:r>
      <w:r>
        <w:rPr>
          <w:rFonts w:hint="eastAsia" w:ascii="宋体" w:hAnsi="宋体" w:eastAsia="宋体" w:cs="宋体"/>
          <w:color w:val="auto"/>
          <w:szCs w:val="21"/>
          <w:highlight w:val="none"/>
          <w:lang w:val="zh-TW" w:eastAsia="zh-TW"/>
        </w:rPr>
        <w:t xml:space="preserve">，</w:t>
      </w:r>
      <w:r>
        <w:rPr>
          <w:rFonts w:hint="eastAsia" w:ascii="宋体" w:hAnsi="宋体" w:eastAsia="宋体" w:cs="宋体"/>
          <w:color w:val="auto"/>
          <w:szCs w:val="21"/>
          <w:highlight w:val="none"/>
        </w:rPr>
        <w:t xml:space="preserve">响应文件</w:t>
      </w:r>
      <w:r>
        <w:rPr>
          <w:rFonts w:hint="eastAsia" w:ascii="宋体" w:hAnsi="宋体" w:eastAsia="宋体" w:cs="宋体"/>
          <w:color w:val="auto"/>
          <w:szCs w:val="21"/>
          <w:highlight w:val="none"/>
          <w:lang w:val="zh-TW" w:eastAsia="zh-TW"/>
        </w:rPr>
        <w:t xml:space="preserve">应保持有效。</w:t>
      </w:r>
      <w:r>
        <w:rPr>
          <w:rFonts w:hint="eastAsia" w:ascii="宋体" w:hAnsi="宋体" w:eastAsia="宋体" w:cs="宋体"/>
          <w:color w:val="auto"/>
          <w:szCs w:val="21"/>
          <w:highlight w:val="none"/>
        </w:rPr>
        <w:t xml:space="preserve">无有效期或</w:t>
      </w:r>
      <w:r>
        <w:rPr>
          <w:rFonts w:hint="eastAsia" w:ascii="宋体" w:hAnsi="宋体" w:eastAsia="宋体" w:cs="宋体"/>
          <w:color w:val="auto"/>
          <w:szCs w:val="21"/>
          <w:highlight w:val="none"/>
          <w:lang w:val="zh-TW" w:eastAsia="zh-TW"/>
        </w:rPr>
        <w:t xml:space="preserve">有效期短于这个规定期限的，</w:t>
      </w:r>
      <w:r>
        <w:rPr>
          <w:rFonts w:hint="eastAsia" w:ascii="宋体" w:hAnsi="宋体" w:eastAsia="宋体" w:cs="宋体"/>
          <w:color w:val="auto"/>
          <w:szCs w:val="21"/>
          <w:highlight w:val="none"/>
        </w:rPr>
        <w:t xml:space="preserve">视为非实质性响应</w:t>
      </w:r>
      <w:r>
        <w:rPr>
          <w:rFonts w:hint="eastAsia" w:ascii="宋体" w:hAnsi="宋体" w:eastAsia="宋体" w:cs="宋体"/>
          <w:color w:val="auto"/>
          <w:szCs w:val="21"/>
          <w:highlight w:val="none"/>
          <w:lang w:val="zh-TW" w:eastAsia="zh-TW"/>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在特殊情况下，采购代理机构可与</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TW" w:eastAsia="zh-TW"/>
        </w:rPr>
        <w:t xml:space="preserve">协商延长</w:t>
      </w:r>
      <w:r>
        <w:rPr>
          <w:rFonts w:hint="eastAsia" w:ascii="宋体" w:hAnsi="宋体" w:eastAsia="宋体" w:cs="宋体"/>
          <w:color w:val="auto"/>
          <w:szCs w:val="21"/>
          <w:highlight w:val="none"/>
        </w:rPr>
        <w:t xml:space="preserve">响应文件</w:t>
      </w:r>
      <w:r>
        <w:rPr>
          <w:rFonts w:hint="eastAsia" w:ascii="宋体" w:hAnsi="宋体" w:eastAsia="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TW" w:eastAsia="zh-TW"/>
        </w:rPr>
        <w:t xml:space="preserve">不能修改响应文件。拒绝接受延期要求的</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TW" w:eastAsia="zh-TW"/>
        </w:rPr>
        <w:t xml:space="preserve">的</w:t>
      </w:r>
      <w:r>
        <w:rPr>
          <w:rFonts w:hint="eastAsia" w:ascii="宋体" w:hAnsi="宋体" w:eastAsia="宋体" w:cs="宋体"/>
          <w:color w:val="auto"/>
          <w:szCs w:val="21"/>
          <w:highlight w:val="none"/>
        </w:rPr>
        <w:t xml:space="preserve">响应文件</w:t>
      </w:r>
      <w:r>
        <w:rPr>
          <w:rFonts w:hint="eastAsia" w:ascii="宋体" w:hAnsi="宋体" w:eastAsia="宋体" w:cs="宋体"/>
          <w:color w:val="auto"/>
          <w:szCs w:val="21"/>
          <w:highlight w:val="none"/>
          <w:lang w:val="zh-TW" w:eastAsia="zh-TW"/>
        </w:rPr>
        <w:t xml:space="preserve">将被拒绝。</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TW" w:eastAsia="zh-TW"/>
        </w:rPr>
        <w:t xml:space="preserve">无论成交与否</w:t>
      </w:r>
      <w:r>
        <w:rPr>
          <w:rFonts w:hint="eastAsia" w:ascii="宋体" w:hAnsi="宋体" w:eastAsia="宋体" w:cs="宋体"/>
          <w:color w:val="auto"/>
          <w:szCs w:val="21"/>
          <w:highlight w:val="none"/>
        </w:rPr>
        <w:t xml:space="preserve">，采购人不承担投标（响应）单位的任何费用，所有投标（响应）响应文件均不退还。</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5、确定成交供应商</w:t>
      </w:r>
      <w:r>
        <w:rPr>
          <w:color w:val="auto"/>
          <w:highlight w:val="none"/>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val="0"/>
          <w:bCs w:val="0"/>
          <w:color w:val="auto"/>
          <w:szCs w:val="21"/>
          <w:highlight w:val="none"/>
        </w:rPr>
        <w:t xml:space="preserve">磋商小组根据供应商资格审查情况，按照评审办法对响应文件进行评价和比较，并按采购人的委托确定成交供应商。</w:t>
      </w:r>
      <w:r>
        <w:rPr>
          <w:color w:val="auto"/>
          <w:highlight w:val="none"/>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经磋商小组评审并确定成交供应商后，采</w:t>
      </w:r>
      <w:r>
        <w:rPr>
          <w:rFonts w:hint="eastAsia" w:ascii="宋体" w:hAnsi="宋体" w:eastAsia="宋体" w:cs="宋体"/>
          <w:b w:val="0"/>
          <w:bCs w:val="0"/>
          <w:color w:val="auto"/>
          <w:szCs w:val="21"/>
          <w:highlight w:val="none"/>
        </w:rPr>
        <w:t xml:space="preserve">购人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rPr>
          <w:color w:val="auto"/>
          <w:highlight w:val="none"/>
        </w:rPr>
      </w:r>
      <w:r/>
    </w:p>
    <w:p>
      <w:pPr>
        <w:ind w:firstLine="420"/>
        <w:jc w:val="left"/>
        <w:spacing w:line="360" w:lineRule="auto"/>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（3）成交通知书/未成交通知书。</w:t>
      </w:r>
      <w:r>
        <w:rPr>
          <w:color w:val="auto"/>
          <w:highlight w:val="none"/>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1）成交公告发布后，成交单位可向代理机构领取成交通知书。</w:t>
      </w:r>
      <w:r>
        <w:rPr>
          <w:color w:val="auto"/>
          <w:highlight w:val="none"/>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2）成交通知书将成为合同的组成部分</w:t>
      </w:r>
      <w:r>
        <w:rPr>
          <w:rFonts w:hint="eastAsia" w:ascii="宋体" w:hAnsi="宋体" w:cs="宋体"/>
          <w:color w:val="auto"/>
          <w:szCs w:val="21"/>
          <w:highlight w:val="none"/>
          <w:lang w:eastAsia="zh-CN"/>
        </w:rPr>
        <w:t xml:space="preserve">，</w:t>
      </w:r>
      <w:r>
        <w:rPr>
          <w:rFonts w:hint="eastAsia" w:ascii="宋体" w:hAnsi="宋体" w:eastAsia="宋体" w:cs="宋体"/>
          <w:b w:val="0"/>
          <w:bCs w:val="0"/>
          <w:color w:val="auto"/>
          <w:szCs w:val="21"/>
          <w:highlight w:val="none"/>
        </w:rPr>
        <w:t xml:space="preserve">对采购人和成交供应商均具有法律效力。成交通知书发出后，采购人改变成交结果，或者成交供应商放弃成交，应当承担相应的法律责任。</w:t>
      </w:r>
      <w:r>
        <w:rPr>
          <w:color w:val="auto"/>
          <w:highlight w:val="none"/>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t xml:space="preserve">（4）磋商采购单位对未成交单位不承担解释未成交原因的义务</w:t>
      </w:r>
      <w:r>
        <w:rPr>
          <w:rFonts w:hint="eastAsia" w:ascii="宋体" w:hAnsi="宋体" w:eastAsia="宋体" w:cs="宋体"/>
          <w:color w:val="auto"/>
          <w:szCs w:val="21"/>
          <w:highlight w:val="none"/>
        </w:rPr>
        <w:t xml:space="preserve">。</w:t>
      </w:r>
      <w:r>
        <w:rPr>
          <w:color w:val="auto"/>
          <w:highlight w:val="none"/>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TW" w:eastAsia="zh-TW"/>
        </w:rPr>
        <w:t xml:space="preserve">、</w:t>
      </w:r>
      <w:r>
        <w:rPr>
          <w:rFonts w:hint="eastAsia" w:ascii="宋体" w:hAnsi="宋体" w:eastAsia="宋体" w:cs="宋体"/>
          <w:b w:val="0"/>
          <w:bCs w:val="0"/>
          <w:color w:val="auto"/>
          <w:szCs w:val="21"/>
          <w:highlight w:val="none"/>
        </w:rPr>
        <w:t xml:space="preserve">合同授予标准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采购人将</w:t>
      </w:r>
      <w:r>
        <w:rPr>
          <w:rFonts w:hint="eastAsia" w:ascii="宋体" w:hAnsi="宋体" w:cs="宋体"/>
          <w:b w:val="0"/>
          <w:bCs w:val="0"/>
          <w:color w:val="auto"/>
          <w:szCs w:val="21"/>
          <w:highlight w:val="none"/>
          <w:lang w:eastAsia="zh-CN"/>
        </w:rPr>
        <w:t xml:space="preserve">本合同</w:t>
      </w:r>
      <w:r>
        <w:rPr>
          <w:rFonts w:hint="eastAsia" w:ascii="宋体" w:hAnsi="宋体" w:eastAsia="宋体" w:cs="宋体"/>
          <w:b w:val="0"/>
          <w:bCs w:val="0"/>
          <w:color w:val="auto"/>
          <w:szCs w:val="21"/>
          <w:highlight w:val="none"/>
        </w:rPr>
        <w:t xml:space="preserve">授予其响应文件在实质上响应采购文件要求和按本采购文件规定评选出的供应商。</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合同的签订</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采购人与成交供应商应当在成交通知书发出之日起三十日内，按照采购文件及响应文件确定的事项签订采购合同。</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成交供应商应按成交通知书中规定，由法定代表人或授权代理人与采购代表签订合同，否则按放弃成交权处理。</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采购人不得向成交供应商提出任何不合理的要求作为签订合同的条件，不得与成交供应商私下订立背离合同实质性内容的协议。</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签订合同及合同条款应以采购文件和成交供应商的磋商采购文件及其澄清文件为依据，所签订的合同不得对采购文件和成交供应商磋商采购文件作实质性修改。</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成交供应商无正当理由不得放弃成交。</w:t>
      </w:r>
      <w:r>
        <w:rPr>
          <w:color w:val="auto"/>
          <w:highlight w:val="none"/>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auto"/>
          <w:highlight w:val="none"/>
        </w:rPr>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TW" w:eastAsia="zh-TW"/>
        </w:rPr>
        <w:t xml:space="preserve">质疑处理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采购代理机构：苏州市宇杰工程技术服务咨询有限公司</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地址：</w:t>
      </w:r>
      <w:r>
        <w:rPr>
          <w:rFonts w:hint="eastAsia" w:ascii="宋体" w:hAnsi="宋体" w:eastAsia="宋体" w:cs="宋体"/>
          <w:color w:val="auto"/>
          <w:szCs w:val="21"/>
          <w:highlight w:val="none"/>
          <w:lang w:val="zh-TW"/>
        </w:rPr>
        <w:t xml:space="preserve">苏州市吴江区交通路3236号</w:t>
      </w:r>
      <w:r>
        <w:rPr>
          <w:rFonts w:hint="eastAsia" w:ascii="宋体" w:hAnsi="宋体" w:eastAsia="宋体" w:cs="宋体"/>
          <w:color w:val="auto"/>
          <w:szCs w:val="21"/>
          <w:highlight w:val="none"/>
          <w:lang w:val="zh-TW" w:eastAsia="zh-TW"/>
        </w:rPr>
        <w:t xml:space="preserve">     </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邮编：215200</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电话：0512-63663868、18913055868    </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联系人：</w:t>
      </w:r>
      <w:r>
        <w:rPr>
          <w:rFonts w:hint="eastAsia" w:ascii="宋体" w:hAnsi="宋体" w:eastAsia="宋体" w:cs="宋体"/>
          <w:color w:val="auto"/>
          <w:szCs w:val="21"/>
          <w:highlight w:val="none"/>
          <w:lang w:eastAsia="zh-CN"/>
        </w:rPr>
        <w:t xml:space="preserve">盛晓蓉</w:t>
      </w:r>
      <w:r>
        <w:rPr>
          <w:rFonts w:hint="eastAsia" w:ascii="宋体" w:hAnsi="宋体" w:eastAsia="宋体" w:cs="宋体"/>
          <w:color w:val="auto"/>
          <w:szCs w:val="21"/>
          <w:highlight w:val="none"/>
          <w:lang w:val="zh-TW" w:eastAsia="zh-TW"/>
        </w:rPr>
        <w:t xml:space="preserve"> </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提交方式：书面形式原件（邮寄或当面递交）</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TW" w:eastAsia="zh-TW"/>
        </w:rPr>
        <w:t xml:space="preserve">进行相应的行政处罚。</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TW" w:eastAsia="zh-TW"/>
        </w:rPr>
        <w:t xml:space="preserve">、如遇服务范围内有大的调整情况，采购</w:t>
      </w:r>
      <w:r>
        <w:rPr>
          <w:rFonts w:hint="eastAsia" w:ascii="宋体" w:hAnsi="宋体" w:eastAsia="宋体" w:cs="宋体"/>
          <w:color w:val="auto"/>
          <w:szCs w:val="21"/>
          <w:highlight w:val="none"/>
        </w:rPr>
        <w:t xml:space="preserve">人</w:t>
      </w:r>
      <w:r>
        <w:rPr>
          <w:rFonts w:hint="eastAsia" w:ascii="宋体" w:hAnsi="宋体" w:eastAsia="宋体" w:cs="宋体"/>
          <w:color w:val="auto"/>
          <w:szCs w:val="21"/>
          <w:highlight w:val="none"/>
          <w:lang w:val="zh-TW" w:eastAsia="zh-TW"/>
        </w:rPr>
        <w:t xml:space="preserve">将提前告知成交单位，合同内容经双方协商调整。</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w:t>
      </w:r>
      <w:r>
        <w:rPr>
          <w:rFonts w:hint="eastAsia" w:ascii="宋体" w:hAnsi="宋体" w:eastAsia="宋体" w:cs="宋体"/>
          <w:color w:val="auto"/>
          <w:szCs w:val="21"/>
          <w:highlight w:val="none"/>
        </w:rPr>
        <w:t xml:space="preserve">人</w:t>
      </w:r>
      <w:r>
        <w:rPr>
          <w:rFonts w:hint="eastAsia" w:ascii="宋体" w:hAnsi="宋体" w:eastAsia="宋体" w:cs="宋体"/>
          <w:color w:val="auto"/>
          <w:szCs w:val="21"/>
          <w:highlight w:val="none"/>
          <w:lang w:val="zh-TW" w:eastAsia="zh-TW"/>
        </w:rPr>
        <w:t xml:space="preserve">不承担</w:t>
      </w:r>
      <w:r>
        <w:rPr>
          <w:rFonts w:hint="eastAsia" w:ascii="宋体" w:hAnsi="宋体" w:eastAsia="宋体" w:cs="宋体"/>
          <w:color w:val="auto"/>
          <w:szCs w:val="21"/>
          <w:highlight w:val="none"/>
        </w:rPr>
        <w:t xml:space="preserve">任何</w:t>
      </w:r>
      <w:r>
        <w:rPr>
          <w:rFonts w:hint="eastAsia" w:ascii="宋体" w:hAnsi="宋体" w:eastAsia="宋体" w:cs="宋体"/>
          <w:color w:val="auto"/>
          <w:szCs w:val="21"/>
          <w:highlight w:val="none"/>
          <w:lang w:val="zh-TW" w:eastAsia="zh-TW"/>
        </w:rPr>
        <w:t xml:space="preserve">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lang w:val="zh-TW" w:eastAsia="zh-TW"/>
        </w:rPr>
        <w:t xml:space="preserve">、本</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TW"/>
        </w:rPr>
        <w:t xml:space="preserve">文件</w:t>
      </w:r>
      <w:r>
        <w:rPr>
          <w:rFonts w:hint="eastAsia" w:ascii="宋体" w:hAnsi="宋体" w:eastAsia="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TW" w:eastAsia="zh-TW"/>
        </w:rPr>
        <w:t xml:space="preserve">、本</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TW"/>
        </w:rPr>
        <w:t xml:space="preserve">文件</w:t>
      </w:r>
      <w:r>
        <w:rPr>
          <w:rFonts w:hint="eastAsia" w:ascii="宋体" w:hAnsi="宋体" w:eastAsia="宋体" w:cs="宋体"/>
          <w:color w:val="auto"/>
          <w:szCs w:val="21"/>
          <w:highlight w:val="none"/>
          <w:lang w:val="zh-TW" w:eastAsia="zh-TW"/>
        </w:rPr>
        <w:t xml:space="preserve">中所称的“以上</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以下</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内</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以内”，包括本数；所称的“不足”，不包括本数。 </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TW" w:eastAsia="zh-TW"/>
        </w:rPr>
        <w:t xml:space="preserve">、凡涉及</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TW"/>
        </w:rPr>
        <w:t xml:space="preserve">文件</w:t>
      </w:r>
      <w:r>
        <w:rPr>
          <w:rFonts w:hint="eastAsia" w:ascii="宋体" w:hAnsi="宋体" w:eastAsia="宋体" w:cs="宋体"/>
          <w:color w:val="auto"/>
          <w:szCs w:val="21"/>
          <w:highlight w:val="none"/>
          <w:lang w:val="zh-TW" w:eastAsia="zh-TW"/>
        </w:rPr>
        <w:t xml:space="preserve">的补充说明和修改，均以苏州</w:t>
      </w:r>
      <w:r>
        <w:rPr>
          <w:rFonts w:hint="eastAsia" w:ascii="宋体" w:hAnsi="宋体" w:eastAsia="宋体" w:cs="宋体"/>
          <w:color w:val="auto"/>
          <w:szCs w:val="21"/>
          <w:highlight w:val="none"/>
        </w:rPr>
        <w:t xml:space="preserve">市</w:t>
      </w:r>
      <w:r>
        <w:rPr>
          <w:rFonts w:hint="eastAsia" w:ascii="宋体" w:hAnsi="宋体" w:eastAsia="宋体" w:cs="宋体"/>
          <w:color w:val="auto"/>
          <w:szCs w:val="21"/>
          <w:highlight w:val="none"/>
          <w:lang w:val="zh-TW" w:eastAsia="zh-TW"/>
        </w:rPr>
        <w:t xml:space="preserve">政府采购网上发布的通知为准。</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十二</w:t>
      </w:r>
      <w:r>
        <w:rPr>
          <w:rFonts w:hint="eastAsia" w:ascii="宋体" w:hAnsi="宋体" w:eastAsia="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zh-TW" w:eastAsia="zh-TW"/>
        </w:rPr>
        <w:t xml:space="preserve">查询时间：响应文件递交截止时间后。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TW" w:eastAsia="zh-TW"/>
        </w:rPr>
        <w:t xml:space="preserve">查询渠道：采购代理机构会在接收响应文件截止时间后</w:t>
      </w:r>
      <w:r>
        <w:rPr>
          <w:rFonts w:hint="eastAsia" w:ascii="宋体" w:hAnsi="宋体" w:eastAsia="宋体" w:cs="宋体"/>
          <w:color w:val="auto"/>
          <w:szCs w:val="21"/>
          <w:highlight w:val="none"/>
          <w:lang w:val="zh-TW"/>
        </w:rPr>
        <w:t xml:space="preserve">，</w:t>
      </w:r>
      <w:r>
        <w:rPr>
          <w:rFonts w:hint="eastAsia" w:ascii="宋体" w:hAnsi="宋体" w:eastAsia="宋体" w:cs="宋体"/>
          <w:color w:val="auto"/>
          <w:szCs w:val="21"/>
          <w:highlight w:val="none"/>
          <w:lang w:val="zh-TW" w:eastAsia="zh-TW"/>
        </w:rPr>
        <w:t xml:space="preserve">登录“苏采云”系统可一键</w:t>
      </w:r>
      <w:r>
        <w:rPr>
          <w:rFonts w:hint="eastAsia" w:ascii="宋体" w:hAnsi="宋体" w:eastAsia="宋体" w:cs="宋体"/>
          <w:color w:val="auto"/>
          <w:szCs w:val="21"/>
          <w:highlight w:val="none"/>
        </w:rPr>
        <w:t xml:space="preserve">链接至</w:t>
      </w:r>
      <w:r>
        <w:rPr>
          <w:rFonts w:hint="eastAsia" w:ascii="宋体" w:hAnsi="宋体" w:eastAsia="宋体" w:cs="宋体"/>
          <w:color w:val="auto"/>
          <w:szCs w:val="21"/>
          <w:highlight w:val="none"/>
          <w:lang w:val="zh-TW" w:eastAsia="zh-TW"/>
        </w:rPr>
        <w:t xml:space="preserve">“信用中国”</w:t>
      </w:r>
      <w:r>
        <w:rPr>
          <w:rFonts w:hint="eastAsia" w:ascii="宋体" w:hAnsi="宋体" w:eastAsia="宋体" w:cs="宋体"/>
          <w:color w:val="auto"/>
          <w:szCs w:val="21"/>
          <w:highlight w:val="none"/>
        </w:rPr>
        <w:t xml:space="preserve">查询供应商</w:t>
      </w:r>
      <w:r>
        <w:rPr>
          <w:rFonts w:hint="eastAsia" w:ascii="宋体" w:hAnsi="宋体" w:eastAsia="宋体" w:cs="宋体"/>
          <w:color w:val="auto"/>
          <w:szCs w:val="21"/>
          <w:highlight w:val="none"/>
          <w:lang w:val="zh-TW" w:eastAsia="zh-TW"/>
        </w:rPr>
        <w:t xml:space="preserve">的信用信息。</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eastAsia="宋体" w:cs="宋体"/>
          <w:color w:val="auto"/>
          <w:szCs w:val="21"/>
          <w:highlight w:val="none"/>
          <w:lang w:val="zh-TW"/>
        </w:rPr>
        <w:t xml:space="preserve">供应商</w:t>
      </w:r>
      <w:r>
        <w:rPr>
          <w:rFonts w:hint="eastAsia" w:ascii="宋体" w:hAnsi="宋体" w:eastAsia="宋体" w:cs="宋体"/>
          <w:color w:val="auto"/>
          <w:szCs w:val="21"/>
          <w:highlight w:val="none"/>
          <w:lang w:val="zh-TW" w:eastAsia="zh-TW"/>
        </w:rPr>
        <w:t xml:space="preserve">签名确认。同时，采购代理机构工作人员应根据确认的失信信息，</w:t>
      </w:r>
      <w:r>
        <w:rPr>
          <w:rFonts w:hint="eastAsia" w:ascii="宋体" w:hAnsi="宋体" w:eastAsia="宋体" w:cs="宋体"/>
          <w:color w:val="auto"/>
          <w:szCs w:val="21"/>
          <w:highlight w:val="none"/>
          <w:lang w:val="zh-TW"/>
        </w:rPr>
        <w:t xml:space="preserve">登录</w:t>
      </w:r>
      <w:r>
        <w:rPr>
          <w:rFonts w:hint="eastAsia" w:ascii="宋体" w:hAnsi="宋体" w:eastAsia="宋体" w:cs="宋体"/>
          <w:color w:val="auto"/>
          <w:szCs w:val="21"/>
          <w:highlight w:val="none"/>
          <w:lang w:val="zh-TW" w:eastAsia="zh-TW"/>
        </w:rPr>
        <w:t xml:space="preserve">到来源网站页面进行复核并打印，作为证据留存。</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zh-TW" w:eastAsia="zh-TW"/>
        </w:rPr>
        <w:t xml:space="preserve">信用记录使用规则：对供应商进行</w:t>
      </w:r>
      <w:r>
        <w:rPr>
          <w:rFonts w:hint="eastAsia" w:ascii="宋体" w:hAnsi="宋体" w:eastAsia="宋体" w:cs="宋体"/>
          <w:color w:val="auto"/>
          <w:szCs w:val="21"/>
          <w:highlight w:val="none"/>
          <w:lang w:val="zh-TW"/>
        </w:rPr>
        <w:t xml:space="preserve">资格</w:t>
      </w:r>
      <w:r>
        <w:rPr>
          <w:rFonts w:hint="eastAsia" w:ascii="宋体" w:hAnsi="宋体" w:eastAsia="宋体" w:cs="宋体"/>
          <w:color w:val="auto"/>
          <w:szCs w:val="21"/>
          <w:highlight w:val="none"/>
          <w:lang w:val="zh-TW" w:eastAsia="zh-TW"/>
        </w:rPr>
        <w:t xml:space="preserve">审查时，应根据查询结果对供应商的不良信用记录逐项甄别确认。按照《中华人民共和国政府采购法》第二十二条规定，下列信用记录属于应依法拒绝供应商参加政府采购的失信信息：</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政府采购严重违法记录，即供应商被全国各级财政部门列入“政府采购严重违法失信行为记录名单”，且在处罚有效期内的。</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eastAsia="zh-TW"/>
        </w:rPr>
        <w:t xml:space="preserve">财政部门与法院、工商、税务等部门联合惩戒的失信信息，包括：</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被列入失信被执行人名单；</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eastAsia="zh-TW"/>
        </w:rPr>
        <w:t xml:space="preserve">被列入重大税收违法案件当事人名单；</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auto"/>
          <w:szCs w:val="21"/>
          <w:highlight w:val="none"/>
          <w:lang w:val="zh-TW" w:eastAsia="zh-TW"/>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、政策执行（如涉及）</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rPr>
        <w:t xml:space="preserve">根据《关于推动解决政府采购异常低价问题相关工作的通知》（苏财购〔2025〕62号）文件的规定，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 </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宋体"/>
          <w:color w:val="auto"/>
          <w:szCs w:val="21"/>
          <w:highlight w:val="none"/>
        </w:rPr>
        <w:t xml:space="preserve">（三）</w:t>
      </w:r>
      <w:r>
        <w:rPr>
          <w:rFonts w:hint="eastAsia" w:ascii="宋体" w:hAnsi="宋体" w:eastAsia="宋体" w:cs="Times New Roman"/>
          <w:color w:val="auto"/>
          <w:sz w:val="21"/>
          <w:szCs w:val="21"/>
          <w:highlight w:val="none"/>
          <w:lang w:val="en-US" w:eastAsia="zh-CN" w:bidi="ar-SA"/>
        </w:rPr>
        <w:t xml:space="preserve">针对中小型企业的评审：</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本项目</w:t>
      </w:r>
      <w:r>
        <w:rPr>
          <w:rFonts w:hint="eastAsia" w:ascii="宋体" w:hAnsi="宋体" w:cs="Times New Roman"/>
          <w:color w:val="auto"/>
          <w:sz w:val="21"/>
          <w:szCs w:val="21"/>
          <w:highlight w:val="none"/>
          <w:lang w:val="en-US" w:eastAsia="zh-CN" w:bidi="ar-SA"/>
        </w:rPr>
        <w:t xml:space="preserve">非</w:t>
      </w:r>
      <w:r>
        <w:rPr>
          <w:rFonts w:hint="eastAsia" w:ascii="宋体" w:hAnsi="宋体" w:eastAsia="宋体" w:cs="Times New Roman"/>
          <w:color w:val="auto"/>
          <w:sz w:val="21"/>
          <w:szCs w:val="21"/>
          <w:highlight w:val="none"/>
          <w:lang w:val="en-US" w:eastAsia="zh-CN" w:bidi="ar-SA"/>
        </w:rPr>
        <w:t xml:space="preserve">专门面向中小企业采购</w:t>
      </w:r>
      <w:r>
        <w:rPr>
          <w:rFonts w:hint="eastAsia" w:ascii="宋体" w:hAnsi="宋体" w:eastAsia="宋体" w:cs="Times New Roman"/>
          <w:color w:val="auto"/>
          <w:sz w:val="21"/>
          <w:szCs w:val="21"/>
          <w:highlight w:val="none"/>
          <w:lang w:val="en-US" w:eastAsia="zh-CN" w:bidi="ar-SA"/>
        </w:rPr>
        <w:t xml:space="preserve">。</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本项目采购标的对应的中小企业划型标准规定所属行业为：</w:t>
      </w:r>
      <w:r>
        <w:rPr>
          <w:rFonts w:hint="eastAsia" w:ascii="宋体" w:hAnsi="宋体" w:cs="宋体"/>
          <w:b/>
          <w:bCs/>
          <w:color w:val="auto"/>
          <w:szCs w:val="21"/>
          <w:highlight w:val="none"/>
          <w:lang w:eastAsia="zh-CN"/>
        </w:rPr>
        <w:t xml:space="preserve">其他未列明行业</w:t>
      </w:r>
      <w:r>
        <w:rPr>
          <w:rFonts w:hint="eastAsia" w:ascii="宋体" w:hAnsi="宋体" w:eastAsia="宋体" w:cs="Times New Roman"/>
          <w:color w:val="auto"/>
          <w:sz w:val="21"/>
          <w:szCs w:val="21"/>
          <w:highlight w:val="none"/>
          <w:lang w:val="en-US" w:eastAsia="zh-CN" w:bidi="ar-SA"/>
        </w:rPr>
        <w:t xml:space="preserve">。</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中小企业参加政府采购活动，应当出具《政府采购促进中小企业发展管理办法》附件规定《中小企业声明函》，否则不得享受相关中小企业扶持政策。</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未按本项目采购标的对应的中小企业划型标准规定所属行业承诺的《中小企业声明函》为无效《中小企业声明函》</w:t>
      </w:r>
      <w:r>
        <w:rPr>
          <w:rFonts w:hint="eastAsia" w:ascii="宋体" w:hAnsi="宋体" w:eastAsia="宋体" w:cs="宋体"/>
          <w:color w:val="auto"/>
          <w:szCs w:val="21"/>
          <w:highlight w:val="none"/>
          <w:lang w:val="zh-TW" w:eastAsia="zh-TW"/>
        </w:rPr>
        <w:t xml:space="preserve">。</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eastAsia="宋体" w:cs="宋体"/>
          <w:color w:val="auto"/>
          <w:szCs w:val="21"/>
          <w:highlight w:val="none"/>
        </w:rPr>
        <w:t xml:space="preserve">）</w:t>
      </w:r>
      <w:r>
        <w:rPr>
          <w:rFonts w:hint="eastAsia" w:ascii="宋体" w:hAnsi="宋体" w:eastAsia="宋体" w:cs="Times New Roman"/>
          <w:color w:val="auto"/>
          <w:sz w:val="21"/>
          <w:szCs w:val="21"/>
          <w:highlight w:val="none"/>
          <w:lang w:val="en-US" w:eastAsia="zh-CN" w:bidi="ar-SA"/>
        </w:rPr>
        <w:t xml:space="preserve">针对监狱企业的评审：</w:t>
      </w:r>
      <w:r>
        <w:rPr>
          <w:color w:val="auto"/>
          <w:highlight w:val="none"/>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根据财政部、司法部《关于政府采购支持监狱企业发展有关问题的通知》（财库〔2014〕68号）的规定，对属于监狱企业的供应商给予评审：</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Times New Roman"/>
          <w:color w:val="auto"/>
          <w:sz w:val="21"/>
          <w:szCs w:val="21"/>
          <w:highlight w:val="none"/>
          <w:lang w:val="en-US" w:eastAsia="zh-CN" w:bidi="ar-SA"/>
        </w:rPr>
        <w:t xml:space="preserve">。</w:t>
      </w:r>
      <w:r>
        <w:rPr>
          <w:color w:val="auto"/>
          <w:highlight w:val="none"/>
        </w:rPr>
      </w:r>
      <w:r/>
    </w:p>
    <w:p>
      <w:pPr>
        <w:numPr>
          <w:ilvl w:val="0"/>
          <w:numId w:val="0"/>
        </w:numPr>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eastAsia="宋体" w:cs="Times New Roman"/>
          <w:color w:val="auto"/>
          <w:sz w:val="21"/>
          <w:szCs w:val="21"/>
          <w:highlight w:val="none"/>
          <w:lang w:val="en-US" w:eastAsia="zh-CN" w:bidi="ar-SA"/>
        </w:rPr>
        <w:t xml:space="preserve">针对残疾人福利性单位的评审：</w:t>
      </w:r>
      <w:r>
        <w:rPr>
          <w:color w:val="auto"/>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根据财政部、民政部、中国残疾人联合会《关于促进残疾人就业政府采购政策的通知》（财库〔2017〕141号）的规定，对属于残疾人福利性单位的供应商给予评审：</w:t>
      </w:r>
      <w:r>
        <w:rPr>
          <w:color w:val="auto"/>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根据供应商提供的《残疾人福利性单位声明函》。</w:t>
      </w:r>
      <w:r>
        <w:rPr>
          <w:color w:val="auto"/>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注：</w:t>
      </w:r>
      <w:r>
        <w:rPr>
          <w:color w:val="auto"/>
          <w:highlight w:val="none"/>
        </w:rPr>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lang w:val="en-US" w:eastAsia="zh-CN" w:bidi="ar-SA"/>
        </w:rPr>
        <w:t xml:space="preserve">（1）供应商对上述声明的真实性负责，若供应商提供的《残疾人福利性单位声明函》与事实不符的，依照《</w:t>
      </w:r>
      <w:r>
        <w:rPr>
          <w:rFonts w:hint="eastAsia" w:ascii="宋体" w:hAnsi="宋体" w:cs="Times New Roman"/>
          <w:color w:val="auto"/>
          <w:sz w:val="21"/>
          <w:szCs w:val="21"/>
          <w:highlight w:val="none"/>
          <w:lang w:val="en-US" w:eastAsia="zh-CN" w:bidi="ar-SA"/>
        </w:rPr>
        <w:t xml:space="preserve">中华人民共和国政府采购法</w:t>
      </w:r>
      <w:r>
        <w:rPr>
          <w:rFonts w:hint="eastAsia" w:ascii="宋体" w:hAnsi="宋体" w:eastAsia="宋体" w:cs="Times New Roman"/>
          <w:color w:val="auto"/>
          <w:sz w:val="21"/>
          <w:szCs w:val="21"/>
          <w:highlight w:val="none"/>
          <w:lang w:val="en-US" w:eastAsia="zh-CN" w:bidi="ar-SA"/>
        </w:rPr>
        <w:t xml:space="preserve">》第七十七条第一款的规定追究法律责任。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（2）供应商为残疾人福利性单位的，采购代理机构将随中标结果同时公告其《残疾人福利性单位声明函》，接受社会监督。</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、备注：本磋商文件打“★”为实质性条款，不可偏离，如偏离响应文件无效。</w:t>
      </w:r>
      <w:r>
        <w:rPr>
          <w:color w:val="auto"/>
          <w:highlight w:val="none"/>
        </w:rPr>
      </w:r>
      <w:r/>
    </w:p>
    <w:p>
      <w:pPr>
        <w:ind w:firstLine="643"/>
        <w:jc w:val="center"/>
        <w:spacing w:line="360" w:lineRule="auto"/>
        <w:rPr>
          <w:rFonts w:ascii="宋体" w:hAnsi="宋体" w:cs="宋体"/>
          <w:color w:val="auto"/>
          <w:sz w:val="36"/>
          <w:szCs w:val="36"/>
          <w:highlight w:val="none"/>
        </w:rPr>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rPr>
          <w:color w:val="auto"/>
          <w:highlight w:val="none"/>
        </w:rPr>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2.供应商报名并领取磋商文件后制作响应文件准时参加磋商，网上响应文件必须在响应文件接收截止时间前提交。</w:t>
      </w:r>
      <w:r>
        <w:rPr>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5.1资格审查：依据法律法规和采购文件的规定，由采购人代表对响应文件中的资格证明文件进行审查。资格审查的结论，采购人代表以书面形式向磋商小组进行反馈。</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5.2符合性审查：依据磋商文件的规定，由磋商小组从响应文件的有效性、完整性和对磋商文件的响应程度进行审查，以确定是否对磋商文件的实质性要求作出响应。</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6.只有通过资格审查和符合性审查（即作出实质性响应磋商文件要求）的供应商才可进入磋商程序；未实质性响应磋商文件的响应文件按无效响应处理，磋商小组应当告知有关供应商。</w:t>
      </w:r>
      <w:r>
        <w:rPr>
          <w:color w:val="auto"/>
          <w:highlight w:val="none"/>
        </w:rPr>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rPr>
          <w:color w:val="auto"/>
          <w:highlight w:val="none"/>
        </w:rPr>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8.在磋商过程中，磋商小组可以根据</w:t>
      </w:r>
      <w:r>
        <w:rPr>
          <w:rFonts w:hint="eastAsia" w:ascii="宋体" w:hAnsi="宋体" w:cs="宋体"/>
          <w:color w:val="auto"/>
          <w:szCs w:val="21"/>
          <w:highlight w:val="none"/>
        </w:rPr>
        <w:t xml:space="preserve">磋商</w:t>
      </w:r>
      <w:r>
        <w:rPr>
          <w:rFonts w:hint="eastAsia" w:ascii="宋体" w:hAnsi="宋体" w:cs="宋体"/>
          <w:color w:val="auto"/>
          <w:highlight w:val="none"/>
        </w:rPr>
        <w:t xml:space="preserve">文件和磋商情况实质性变动采购需求中的技术、服务要求以及合同草案条款。对</w:t>
      </w:r>
      <w:r>
        <w:rPr>
          <w:rFonts w:hint="eastAsia" w:ascii="宋体" w:hAnsi="宋体" w:cs="宋体"/>
          <w:color w:val="auto"/>
          <w:szCs w:val="21"/>
          <w:highlight w:val="none"/>
        </w:rPr>
        <w:t xml:space="preserve">磋商</w:t>
      </w:r>
      <w:r>
        <w:rPr>
          <w:rFonts w:hint="eastAsia" w:ascii="宋体" w:hAnsi="宋体" w:cs="宋体"/>
          <w:color w:val="auto"/>
          <w:highlight w:val="none"/>
        </w:rPr>
        <w:t xml:space="preserve">文件作出的实质性变动是</w:t>
      </w:r>
      <w:r>
        <w:rPr>
          <w:rFonts w:hint="eastAsia" w:ascii="宋体" w:hAnsi="宋体" w:cs="宋体"/>
          <w:color w:val="auto"/>
          <w:szCs w:val="21"/>
          <w:highlight w:val="none"/>
        </w:rPr>
        <w:t xml:space="preserve">磋商</w:t>
      </w:r>
      <w:r>
        <w:rPr>
          <w:rFonts w:hint="eastAsia" w:ascii="宋体" w:hAnsi="宋体" w:cs="宋体"/>
          <w:color w:val="auto"/>
          <w:highlight w:val="none"/>
        </w:rPr>
        <w:t xml:space="preserve">文件的有效组成部分</w:t>
      </w:r>
      <w:r>
        <w:rPr>
          <w:rFonts w:hint="eastAsia" w:ascii="宋体" w:hAnsi="宋体" w:cs="宋体"/>
          <w:color w:val="auto"/>
          <w:szCs w:val="21"/>
          <w:highlight w:val="none"/>
        </w:rPr>
        <w:t xml:space="preserve">，磋商小组将在“苏采云”系统中同时通知所有参加磋商的供应商，供应商应当按照磋商文件的变动情况和磋商小组的要求在“苏采云”系统中重新提交响应文件，并由其法定代表人或授权代表签字并加盖CA电子公章。</w:t>
      </w:r>
      <w:r>
        <w:rPr>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rPr>
          <w:color w:val="auto"/>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rPr>
          <w:color w:val="auto"/>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rPr>
          <w:color w:val="auto"/>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rPr>
          <w:color w:val="auto"/>
          <w:highlight w:val="none"/>
        </w:rPr>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rPr>
          <w:color w:val="auto"/>
          <w:highlight w:val="none"/>
        </w:rPr>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highlight w:val="none"/>
        </w:rPr>
        <w:t xml:space="preserve">14.如磋商过程中出现本</w:t>
      </w:r>
      <w:r>
        <w:rPr>
          <w:rFonts w:hint="eastAsia" w:ascii="宋体" w:hAnsi="宋体" w:cs="宋体"/>
          <w:color w:val="auto"/>
          <w:szCs w:val="21"/>
          <w:highlight w:val="none"/>
        </w:rPr>
        <w:t xml:space="preserve">磋商</w:t>
      </w:r>
      <w:r>
        <w:rPr>
          <w:rFonts w:hint="eastAsia" w:ascii="宋体" w:hAnsi="宋体" w:cs="宋体"/>
          <w:color w:val="auto"/>
          <w:highlight w:val="none"/>
        </w:rPr>
        <w:t xml:space="preserve">文件未尽事宜，由磋商小组根据政府采购有关法律法规讨论决定。</w:t>
      </w:r>
      <w:r>
        <w:rPr>
          <w:color w:val="auto"/>
          <w:highlight w:val="none"/>
        </w:rPr>
      </w:r>
      <w:r/>
    </w:p>
    <w:p>
      <w:pPr>
        <w:pStyle w:val="974"/>
        <w:ind w:firstLine="420"/>
        <w:spacing w:after="0"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pStyle w:val="974"/>
        <w:ind w:firstLine="420"/>
        <w:spacing w:after="0" w:line="360" w:lineRule="auto"/>
        <w:rPr>
          <w:rFonts w:ascii="宋体" w:hAnsi="宋体" w:cs="宋体"/>
          <w:color w:val="auto"/>
          <w:highlight w:val="none"/>
        </w:rPr>
      </w:pPr>
      <w:r>
        <w:rPr>
          <w:rFonts w:ascii="宋体" w:hAnsi="宋体" w:cs="宋体"/>
          <w:color w:val="auto"/>
          <w:highlight w:val="none"/>
        </w:rPr>
      </w:r>
      <w:r>
        <w:rPr>
          <w:color w:val="auto"/>
          <w:highlight w:val="none"/>
        </w:rPr>
      </w:r>
      <w:r/>
    </w:p>
    <w:p>
      <w:pPr>
        <w:ind w:firstLine="6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rPr>
          <w:color w:val="auto"/>
          <w:highlight w:val="none"/>
        </w:rPr>
      </w:r>
      <w:r/>
    </w:p>
    <w:p>
      <w:pPr>
        <w:ind w:firstLine="422"/>
        <w:spacing w:line="360" w:lineRule="auto"/>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rPr>
          <w:color w:val="auto"/>
          <w:highlight w:val="none"/>
        </w:rPr>
      </w:r>
      <w:r/>
    </w:p>
    <w:p>
      <w:pPr>
        <w:ind w:firstLine="420"/>
        <w:jc w:val="left"/>
        <w:keepLines w:val="0"/>
        <w:keepNext w:val="0"/>
        <w:pageBreakBefore w:val="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TW" w:eastAsia="zh-TW"/>
        </w:rPr>
        <w:t xml:space="preserve">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TW" w:eastAsia="zh-TW"/>
        </w:rPr>
        <w:t xml:space="preserve">书面授权磋商小组直接确定成交单位。</w:t>
      </w:r>
      <w:r>
        <w:rPr>
          <w:color w:val="auto"/>
          <w:highlight w:val="none"/>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zh-TW" w:eastAsia="zh-TW"/>
        </w:rPr>
        <w:t xml:space="preserve">2、</w:t>
      </w:r>
      <w:r>
        <w:rPr>
          <w:rFonts w:hint="eastAsia" w:ascii="宋体" w:hAnsi="宋体" w:cs="宋体"/>
          <w:color w:val="auto"/>
          <w:szCs w:val="21"/>
          <w:highlight w:val="none"/>
          <w:lang w:val="zh-TW" w:eastAsia="zh-TW"/>
        </w:rPr>
        <w:t xml:space="preserve">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rPr>
          <w:color w:val="auto"/>
          <w:highlight w:val="none"/>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cs="Times New Roman"/>
          <w:color w:val="auto"/>
          <w:szCs w:val="21"/>
          <w:highlight w:val="none"/>
          <w:lang w:val="en-US" w:eastAsia="zh-CN"/>
        </w:rPr>
        <w:t xml:space="preserve">3、</w:t>
      </w:r>
      <w:r>
        <w:rPr>
          <w:rFonts w:hint="eastAsia" w:ascii="宋体" w:hAnsi="Times New Roman" w:eastAsia="宋体" w:cs="Times New Roman"/>
          <w:color w:val="auto"/>
          <w:szCs w:val="21"/>
          <w:highlight w:val="none"/>
          <w:lang w:val="en-US" w:eastAsia="zh-CN"/>
        </w:rPr>
        <w:t xml:space="preserve">为深化采购制度改革，促进采购领域公平竞争，持续优化采购营商环境，实现优质优价采购目标，评审过程中出现下列情形之一的，评审委员会应当启动异常低价投标（响应）审查程序：</w:t>
      </w:r>
      <w:r>
        <w:rPr>
          <w:color w:val="auto"/>
          <w:highlight w:val="none"/>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lang w:val="en-US" w:eastAsia="zh-CN"/>
        </w:rPr>
        <w:t xml:space="preserve">（1）投标（响应）报价低于采购项目预算50%的，即投标（响应）报价</w:t>
      </w:r>
      <w:r>
        <w:rPr>
          <w:rFonts w:hint="eastAsia" w:ascii="宋体" w:cs="Times New Roman"/>
          <w:color w:val="auto"/>
          <w:szCs w:val="21"/>
          <w:highlight w:val="none"/>
          <w:lang w:val="en-US" w:eastAsia="zh-CN"/>
        </w:rPr>
        <w:t xml:space="preserve">＜</w:t>
      </w:r>
      <w:r>
        <w:rPr>
          <w:rFonts w:hint="eastAsia" w:ascii="宋体" w:hAnsi="Times New Roman" w:eastAsia="宋体" w:cs="Times New Roman"/>
          <w:color w:val="auto"/>
          <w:szCs w:val="21"/>
          <w:highlight w:val="none"/>
          <w:lang w:val="en-US" w:eastAsia="zh-CN"/>
        </w:rPr>
        <w:t xml:space="preserve">采购项目预算×50%；</w:t>
      </w:r>
      <w:r>
        <w:rPr>
          <w:color w:val="auto"/>
          <w:highlight w:val="none"/>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lang w:val="en-US" w:eastAsia="zh-CN"/>
        </w:rPr>
        <w:t xml:space="preserve">（2）投标（响应）报价低于采购项目最高限价45%的，即投标（响应）报价</w:t>
      </w:r>
      <w:r>
        <w:rPr>
          <w:rFonts w:hint="eastAsia" w:ascii="宋体" w:cs="Times New Roman"/>
          <w:color w:val="auto"/>
          <w:szCs w:val="21"/>
          <w:highlight w:val="none"/>
          <w:lang w:val="en-US" w:eastAsia="zh-CN"/>
        </w:rPr>
        <w:t xml:space="preserve">＜</w:t>
      </w:r>
      <w:r>
        <w:rPr>
          <w:rFonts w:hint="eastAsia" w:ascii="宋体" w:hAnsi="Times New Roman" w:eastAsia="宋体" w:cs="Times New Roman"/>
          <w:color w:val="auto"/>
          <w:szCs w:val="21"/>
          <w:highlight w:val="none"/>
          <w:lang w:val="en-US" w:eastAsia="zh-CN"/>
        </w:rPr>
        <w:t xml:space="preserve">采购项目最高限价×45%；</w:t>
      </w:r>
      <w:r>
        <w:rPr>
          <w:color w:val="auto"/>
          <w:highlight w:val="none"/>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lang w:val="en-US" w:eastAsia="zh-CN"/>
        </w:rPr>
        <w:t xml:space="preserve">（3）评审委员会认定的供应商报价过低、有可能影响产品质量或者不能诚信履约的其他情形。</w:t>
      </w:r>
      <w:r>
        <w:rPr>
          <w:color w:val="auto"/>
          <w:highlight w:val="none"/>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cs="Times New Roman"/>
          <w:color w:val="auto"/>
          <w:szCs w:val="21"/>
          <w:highlight w:val="none"/>
          <w:lang w:val="en-US" w:eastAsia="zh-CN"/>
        </w:rPr>
        <w:t xml:space="preserve">4</w:t>
      </w:r>
      <w:r>
        <w:rPr>
          <w:rFonts w:hint="eastAsia" w:ascii="宋体" w:hAnsi="Times New Roman" w:eastAsia="宋体" w:cs="Times New Roman"/>
          <w:color w:val="auto"/>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w:t>
      </w:r>
      <w:bookmarkStart w:id="8" w:name="_Hlk132385548"/>
      <w:r>
        <w:rPr>
          <w:rFonts w:hint="eastAsia" w:ascii="宋体" w:hAnsi="宋体" w:eastAsia="宋体" w:cs="宋体"/>
          <w:color w:val="auto"/>
          <w:sz w:val="21"/>
          <w:szCs w:val="21"/>
          <w:highlight w:val="none"/>
          <w:lang w:val="zh-TW" w:eastAsia="zh-TW" w:bidi="ar-SA"/>
        </w:rPr>
        <w:t xml:space="preserve">（线上开评标项目可通过苏采云系统要求其提供）</w:t>
      </w:r>
      <w:bookmarkEnd w:id="8"/>
      <w:r>
        <w:rPr>
          <w:rFonts w:hint="eastAsia" w:ascii="宋体" w:hAnsi="Times New Roman" w:eastAsia="宋体" w:cs="Times New Roman"/>
          <w:color w:val="auto"/>
          <w:szCs w:val="21"/>
          <w:highlight w:val="none"/>
          <w:lang w:val="en-US"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、针对小型、微型企业的价格评审办法：</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w:t>
      </w:r>
      <w:r>
        <w:rPr>
          <w:rFonts w:hint="eastAsia" w:ascii="宋体" w:hAnsi="宋体" w:cs="宋体"/>
          <w:color w:val="auto"/>
          <w:szCs w:val="21"/>
          <w:highlight w:val="none"/>
          <w:lang w:val="en-US" w:eastAsia="zh-CN"/>
        </w:rPr>
        <w:t xml:space="preserve">&lt;</w:t>
      </w:r>
      <w:r>
        <w:rPr>
          <w:rFonts w:hint="eastAsia" w:ascii="宋体" w:hAnsi="宋体" w:cs="宋体"/>
          <w:color w:val="auto"/>
          <w:szCs w:val="21"/>
          <w:highlight w:val="none"/>
          <w:lang w:val="zh-CN"/>
        </w:rPr>
        <w:t xml:space="preserve">苏州市政府采购促进中小企业发展实施意见</w:t>
      </w:r>
      <w:r>
        <w:rPr>
          <w:rFonts w:hint="eastAsia" w:ascii="宋体" w:hAnsi="宋体" w:cs="宋体"/>
          <w:color w:val="auto"/>
          <w:szCs w:val="21"/>
          <w:highlight w:val="none"/>
          <w:lang w:val="en-US" w:eastAsia="zh-CN"/>
        </w:rPr>
        <w:t xml:space="preserve">&gt;</w:t>
      </w:r>
      <w:r>
        <w:rPr>
          <w:rFonts w:hint="eastAsia" w:ascii="宋体" w:hAnsi="宋体" w:cs="宋体"/>
          <w:color w:val="auto"/>
          <w:szCs w:val="21"/>
          <w:highlight w:val="none"/>
          <w:lang w:val="zh-CN"/>
        </w:rPr>
        <w:t xml:space="preserve">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②若供应商提供的《中小企业声明函》（见第六章格式）为虚假声明则视同提供虚假材料，按《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》相关规定处理并报请政府监管部门给予行政处罚。</w:t>
      </w:r>
      <w:r>
        <w:rPr>
          <w:color w:val="auto"/>
          <w:highlight w:val="none"/>
        </w:rPr>
      </w:r>
      <w:r/>
    </w:p>
    <w:p>
      <w:pPr>
        <w:ind w:firstLine="422"/>
        <w:spacing w:line="360" w:lineRule="auto"/>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③专门面向中小企业采购的项目或者采购包，不再执行价格评审优惠的扶持政策。</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、针对残疾人福利性单位的评审：</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、针对监狱企业的评审加分：</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rPr>
          <w:color w:val="auto"/>
          <w:highlight w:val="none"/>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rPr>
          <w:color w:val="auto"/>
          <w:highlight w:val="none"/>
        </w:rPr>
      </w:r>
      <w:r/>
    </w:p>
    <w:p>
      <w:pPr>
        <w:pStyle w:val="1017"/>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rPr>
        <w:t xml:space="preserve">注：上述优惠政策不重复享受。</w:t>
      </w:r>
      <w:r>
        <w:rPr>
          <w:color w:val="auto"/>
          <w:highlight w:val="none"/>
        </w:rPr>
      </w:r>
      <w:r/>
    </w:p>
    <w:p>
      <w:pPr>
        <w:numPr>
          <w:ilvl w:val="0"/>
          <w:numId w:val="0"/>
        </w:numPr>
        <w:ind w:left="0" w:firstLine="420"/>
        <w:keepLines w:val="0"/>
        <w:keepNext w:val="0"/>
        <w:pageBreakBefore w:val="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rPr>
          <w:rFonts w:hint="eastAsia" w:ascii="宋体" w:hAnsi="宋体" w:cs="宋体"/>
          <w:color w:val="auto"/>
          <w:szCs w:val="21"/>
          <w:highlight w:val="none"/>
          <w:lang w:val="en-US" w:eastAsia="zh-CN"/>
        </w:rPr>
        <w:t xml:space="preserve">。</w:t>
      </w:r>
      <w:r>
        <w:rPr>
          <w:color w:val="auto"/>
          <w:highlight w:val="none"/>
        </w:rPr>
      </w:r>
      <w:r/>
    </w:p>
    <w:p>
      <w:pPr>
        <w:ind w:firstLine="422"/>
        <w:keepLines w:val="0"/>
        <w:keepNext w:val="0"/>
        <w:pageBreakBefore w:val="0"/>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二、评分标准</w:t>
      </w:r>
      <w:r>
        <w:rPr>
          <w:color w:val="auto"/>
          <w:highlight w:val="none"/>
        </w:rPr>
      </w:r>
      <w:r/>
    </w:p>
    <w:p>
      <w:pPr>
        <w:pStyle w:val="979"/>
        <w:ind w:left="0" w:firstLine="420"/>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0%（权重），技术与方案及其它占</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0%（权重）。</w:t>
      </w:r>
      <w:r>
        <w:rPr>
          <w:color w:val="auto"/>
          <w:highlight w:val="none"/>
        </w:rPr>
      </w:r>
      <w:r/>
    </w:p>
    <w:p>
      <w:pPr>
        <w:ind w:firstLine="422"/>
        <w:keepLines w:val="0"/>
        <w:keepNext w:val="0"/>
        <w:pageBreakBefore w:val="0"/>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（一）报价得分</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rPr>
          <w:color w:val="auto"/>
          <w:highlight w:val="none"/>
        </w:rPr>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1、价格分统一采用低价优先法计算，磋商报价低于或等于财政预算价格的，为有效磋商报价，</w:t>
      </w:r>
      <w:r>
        <w:rPr>
          <w:rFonts w:hint="eastAsia" w:ascii="宋体" w:hAnsi="宋体" w:eastAsia="宋体" w:cs="宋体"/>
          <w:color w:val="auto"/>
          <w:szCs w:val="21"/>
          <w:highlight w:val="none"/>
          <w:lang w:val="zh-TW" w:eastAsia="zh-TW"/>
        </w:rPr>
        <w:t xml:space="preserve">超财政预算的磋商报价文件为未实质性响应文件，不参与评审</w:t>
      </w:r>
      <w:r>
        <w:rPr>
          <w:rFonts w:hint="eastAsia" w:ascii="宋体" w:hAnsi="宋体" w:eastAsia="宋体" w:cs="宋体"/>
          <w:color w:val="auto"/>
          <w:szCs w:val="21"/>
          <w:highlight w:val="none"/>
          <w:lang w:val="zh-TW"/>
        </w:rPr>
        <w:t xml:space="preserve">，也不得</w:t>
      </w:r>
      <w:r>
        <w:rPr>
          <w:rFonts w:hint="eastAsia" w:ascii="宋体" w:hAnsi="宋体" w:eastAsia="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0分，其他供应商的价格分按照下列公式计算（计算结果四舍五入保留两位小数）。</w:t>
      </w:r>
      <w:r>
        <w:rPr>
          <w:color w:val="auto"/>
          <w:highlight w:val="none"/>
        </w:rPr>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0%×100。</w:t>
      </w:r>
      <w:r>
        <w:rPr>
          <w:color w:val="auto"/>
          <w:highlight w:val="none"/>
        </w:rPr>
      </w:r>
      <w:r/>
    </w:p>
    <w:p>
      <w:pPr>
        <w:ind w:firstLine="422"/>
        <w:spacing w:line="360" w:lineRule="auto"/>
        <w:tabs>
          <w:tab w:val="left" w:pos="6240" w:leader="none"/>
        </w:tabs>
        <w:rPr>
          <w:rFonts w:ascii="宋体" w:hAnsi="宋体" w:eastAsia="宋体" w:cs="宋体"/>
          <w:b/>
          <w:color w:val="auto"/>
          <w:szCs w:val="21"/>
          <w:highlight w:val="none"/>
        </w:rPr>
        <w:outlineLvl w:val="0"/>
      </w:pP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二</w:t>
      </w:r>
      <w:r>
        <w:rPr>
          <w:rFonts w:hint="eastAsia" w:ascii="宋体" w:hAnsi="宋体" w:eastAsia="宋体" w:cs="宋体"/>
          <w:b/>
          <w:color w:val="auto"/>
          <w:szCs w:val="21"/>
          <w:highlight w:val="none"/>
          <w:lang w:eastAsia="zh-CN"/>
        </w:rPr>
        <w:t xml:space="preserve">）项目</w:t>
      </w:r>
      <w:r>
        <w:rPr>
          <w:rFonts w:hint="eastAsia" w:ascii="宋体" w:hAnsi="宋体" w:cs="宋体"/>
          <w:b/>
          <w:color w:val="auto"/>
          <w:szCs w:val="21"/>
          <w:highlight w:val="none"/>
          <w:lang w:val="en-US" w:eastAsia="zh-CN"/>
        </w:rPr>
        <w:t xml:space="preserve">服务</w:t>
      </w:r>
      <w:bookmarkStart w:id="19" w:name="_GoBack"/>
      <w:r>
        <w:rPr>
          <w:color w:val="auto"/>
          <w:highlight w:val="none"/>
        </w:rPr>
      </w:r>
      <w:bookmarkEnd w:id="19"/>
      <w:r>
        <w:rPr>
          <w:rFonts w:hint="eastAsia" w:ascii="宋体" w:hAnsi="宋体" w:eastAsia="宋体" w:cs="宋体"/>
          <w:b/>
          <w:color w:val="auto"/>
          <w:szCs w:val="21"/>
          <w:highlight w:val="none"/>
          <w:lang w:eastAsia="zh-CN"/>
        </w:rPr>
        <w:t xml:space="preserve">方案（</w:t>
      </w:r>
      <w:r>
        <w:rPr>
          <w:rFonts w:hint="eastAsia" w:ascii="宋体" w:hAnsi="宋体" w:eastAsia="宋体" w:cs="宋体"/>
          <w:b/>
          <w:color w:val="auto"/>
          <w:szCs w:val="21"/>
          <w:highlight w:val="none"/>
          <w:lang w:val="en-US" w:eastAsia="zh-CN"/>
        </w:rPr>
        <w:t xml:space="preserve">5</w:t>
      </w:r>
      <w:r>
        <w:rPr>
          <w:rFonts w:hint="eastAsia" w:ascii="宋体" w:hAnsi="宋体" w:cs="宋体"/>
          <w:b/>
          <w:color w:val="auto"/>
          <w:szCs w:val="21"/>
          <w:highlight w:val="none"/>
          <w:lang w:val="en-US" w:eastAsia="zh-CN"/>
        </w:rPr>
        <w:t xml:space="preserve">0</w:t>
      </w:r>
      <w:r>
        <w:rPr>
          <w:rFonts w:hint="eastAsia" w:ascii="宋体" w:hAnsi="宋体" w:eastAsia="宋体" w:cs="宋体"/>
          <w:b/>
          <w:color w:val="auto"/>
          <w:szCs w:val="21"/>
          <w:highlight w:val="none"/>
          <w:lang w:eastAsia="zh-CN"/>
        </w:rPr>
        <w:t xml:space="preserve">分）</w:t>
      </w:r>
      <w:r>
        <w:rPr>
          <w:rFonts w:hint="eastAsia" w:ascii="宋体" w:hAnsi="宋体" w:eastAsia="宋体" w:cs="宋体"/>
          <w:b/>
          <w:color w:val="auto"/>
          <w:szCs w:val="21"/>
          <w:highlight w:val="none"/>
        </w:rPr>
        <w:t xml:space="preserve"> </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1、对本项目服务组织实施方案（</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（1）提供服务范围、内容和服务标准的完整性、管理责任明确性等比较</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eastAsia="zh-CN"/>
        </w:rPr>
        <w:t xml:space="preserve">分）</w:t>
      </w:r>
      <w:r>
        <w:rPr>
          <w:rFonts w:hint="eastAsia" w:ascii="宋体" w:hAnsi="宋体" w:eastAsia="宋体" w:cs="宋体"/>
          <w:color w:val="auto"/>
          <w:szCs w:val="21"/>
          <w:highlight w:val="none"/>
        </w:rPr>
        <w:t xml:space="preserve">               </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各</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提供的方案服务范围、内容和服务标准的完整性、管理责任明确性强的得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分；方案服务范围、内容和服务标准的完整性、管理责任明确性较强的得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分；方案服务范围、内容和服务标准的完整性、管理责任明确性一般的得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未提供的不得分。</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）针对本项目的管理方案及计划等（</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分）                                          </w:t>
      </w: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各</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eastAsia="zh-CN"/>
        </w:rPr>
        <w:t xml:space="preserve">提供的方案对项目理解全面、计划安排合理可行性强的得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分；对项目理解较全面、计划安排合理可行性较强的得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分；对项目理解一般、计划安排合理可行性一般的得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分；未提供的不得分。</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2、人员</w:t>
      </w:r>
      <w:r>
        <w:rPr>
          <w:rFonts w:hint="eastAsia" w:ascii="宋体" w:hAnsi="宋体" w:cs="宋体"/>
          <w:color w:val="auto"/>
          <w:szCs w:val="21"/>
          <w:highlight w:val="none"/>
          <w:lang w:val="en-US" w:eastAsia="zh-CN"/>
        </w:rPr>
        <w:t xml:space="preserve">配置</w:t>
      </w:r>
      <w:r>
        <w:rPr>
          <w:rFonts w:hint="eastAsia" w:ascii="宋体" w:hAnsi="宋体" w:eastAsia="宋体" w:cs="宋体"/>
          <w:color w:val="auto"/>
          <w:szCs w:val="21"/>
          <w:highlight w:val="none"/>
          <w:lang w:val="en-US" w:eastAsia="zh-CN"/>
        </w:rPr>
        <w:t xml:space="preserve">服务保障方案（</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                                                    </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方案合理，概述详细、切合实际、考虑周全、措施有效扎实，管理责任清晰的得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分；方案概述较为详细、考虑到实际、能满足项目实施需要的得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分；方案简单、基本能满足项目实施需要的得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分；未提供的不得分。</w:t>
      </w:r>
      <w:r>
        <w:rPr>
          <w:color w:val="auto"/>
          <w:highlight w:val="none"/>
        </w:rPr>
      </w:r>
      <w:r/>
    </w:p>
    <w:p>
      <w:pPr>
        <w:numPr>
          <w:ilvl w:val="0"/>
          <w:numId w:val="0"/>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3、突发事件的应急措施方案（10分） </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针对可能发生的各类重大紧急情况考虑分析全面，应急预案制定有针对性，方案实施可行性强的</w:t>
      </w:r>
      <w:r>
        <w:rPr>
          <w:rFonts w:hint="eastAsia" w:ascii="宋体" w:hAnsi="宋体" w:eastAsia="宋体" w:cs="宋体"/>
          <w:color w:val="auto"/>
          <w:szCs w:val="21"/>
          <w:highlight w:val="none"/>
          <w:lang w:val="en-US" w:eastAsia="zh-CN"/>
        </w:rPr>
        <w:t xml:space="preserve">得10分；具备各类应急预案，方案较为完整，总体安排可行的得7分；具有应急预案，方案描述较为简单，可行性一般的得4分；未提供的不得分。</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4、服务期间与业主配合措施（10分）</w:t>
      </w:r>
      <w:r>
        <w:rPr>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措施方案考虑周全、合理可行、完全满足项目需求的得10分；措施方案考虑比较细致</w:t>
      </w:r>
      <w:r>
        <w:rPr>
          <w:rFonts w:hint="eastAsia" w:ascii="宋体" w:hAnsi="宋体" w:cs="宋体"/>
          <w:color w:val="auto"/>
          <w:szCs w:val="21"/>
          <w:highlight w:val="none"/>
          <w:lang w:val="en-US" w:eastAsia="zh-CN"/>
        </w:rPr>
        <w:t xml:space="preserve">、比</w:t>
      </w:r>
      <w:r>
        <w:rPr>
          <w:rFonts w:hint="eastAsia" w:ascii="宋体" w:hAnsi="宋体" w:eastAsia="宋体" w:cs="宋体"/>
          <w:color w:val="auto"/>
          <w:szCs w:val="21"/>
          <w:highlight w:val="none"/>
          <w:lang w:val="en-US" w:eastAsia="zh-CN"/>
        </w:rPr>
        <w:t xml:space="preserve">较合理可行、能满足项目需求的得7分；措施方案不太合理、不太能满足项目实施需要的得4分；未提供的不得分。</w:t>
      </w:r>
      <w:r>
        <w:rPr>
          <w:color w:val="auto"/>
          <w:highlight w:val="none"/>
        </w:rPr>
      </w:r>
      <w:r/>
    </w:p>
    <w:p>
      <w:pPr>
        <w:pStyle w:val="983"/>
        <w:ind w:left="0" w:firstLine="422"/>
        <w:pageBreakBefore w:val="0"/>
        <w:spacing w:line="360" w:lineRule="auto"/>
        <w:rPr>
          <w:rFonts w:hint="eastAsia" w:ascii="宋体" w:hAnsi="宋体" w:eastAsia="宋体" w:cs="宋体"/>
          <w:bCs/>
          <w:color w:val="auto"/>
          <w:sz w:val="21"/>
          <w:szCs w:val="21"/>
          <w:highlight w:val="none"/>
        </w:rPr>
        <w:outlineLvl w:val="2"/>
      </w:pPr>
      <w:r>
        <w:rPr>
          <w:rFonts w:hint="eastAsia" w:ascii="宋体" w:hAnsi="宋体" w:eastAsia="宋体" w:cs="宋体"/>
          <w:b/>
          <w:color w:val="auto"/>
          <w:sz w:val="21"/>
          <w:szCs w:val="21"/>
          <w:highlight w:val="none"/>
        </w:rPr>
        <w:t xml:space="preserve">（三）项目人员配置情况（1</w:t>
      </w:r>
      <w:r>
        <w:rPr>
          <w:rFonts w:hint="eastAsia"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项目负责人（</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rPr>
          <w:color w:val="auto"/>
          <w:highlight w:val="none"/>
        </w:rPr>
      </w:r>
      <w:r/>
    </w:p>
    <w:p>
      <w:pPr>
        <w:ind w:firstLine="420"/>
        <w:spacing w:line="360" w:lineRule="auto"/>
        <w:tabs>
          <w:tab w:val="left" w:pos="2870" w:leader="none"/>
        </w:tabs>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lang w:eastAsia="zh-CN"/>
        </w:rPr>
        <w:t xml:space="preserve">项目负责人具有高级或以上职称</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具有</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lang w:eastAsia="zh-CN"/>
        </w:rPr>
        <w:t xml:space="preserve">级职称</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；本项最高得3分。</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eastAsia="zh-CN"/>
        </w:rPr>
        <w:t xml:space="preserve">项目负责人具有</w:t>
      </w:r>
      <w:r>
        <w:rPr>
          <w:rFonts w:hint="eastAsia" w:ascii="宋体" w:hAnsi="宋体" w:eastAsia="宋体" w:cs="宋体"/>
          <w:color w:val="auto"/>
          <w:szCs w:val="21"/>
          <w:highlight w:val="none"/>
          <w:lang w:val="en-US" w:eastAsia="zh-CN"/>
        </w:rPr>
        <w:t xml:space="preserve">硕士或以上学历的得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具有</w:t>
      </w:r>
      <w:r>
        <w:rPr>
          <w:rFonts w:hint="eastAsia" w:ascii="宋体" w:hAnsi="宋体" w:cs="宋体"/>
          <w:color w:val="auto"/>
          <w:szCs w:val="21"/>
          <w:highlight w:val="none"/>
          <w:lang w:val="en-US" w:eastAsia="zh-CN"/>
        </w:rPr>
        <w:t xml:space="preserve">本科学历</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；本项最高得3分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                                                    </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项目组成员（项目负责人</w:t>
      </w:r>
      <w:r>
        <w:rPr>
          <w:rFonts w:hint="eastAsia" w:ascii="宋体" w:hAnsi="宋体" w:eastAsia="宋体" w:cs="宋体"/>
          <w:color w:val="auto"/>
          <w:szCs w:val="21"/>
          <w:highlight w:val="none"/>
          <w:lang w:val="en-US" w:eastAsia="zh-CN"/>
        </w:rPr>
        <w:t xml:space="preserve">除外</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分）</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项目组人员（项目负责人除外）中具有中级或以上职称的，每提供一人得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w:t>
      </w:r>
      <w:r>
        <w:rPr>
          <w:rFonts w:hint="eastAsia" w:ascii="宋体" w:hAnsi="宋体" w:eastAsia="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color w:val="auto"/>
          <w:highlight w:val="none"/>
        </w:rPr>
      </w:r>
      <w:r/>
    </w:p>
    <w:p>
      <w:pPr>
        <w:ind w:firstLine="420"/>
        <w:spacing w:line="360" w:lineRule="auto"/>
        <w:tabs>
          <w:tab w:val="left" w:pos="2870" w:leader="none"/>
        </w:tabs>
        <w:rPr>
          <w:rFonts w:hint="default" w:eastAsia="宋体"/>
          <w:color w:val="auto"/>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项目组人员（项目负责人除外）中具有</w:t>
      </w:r>
      <w:r>
        <w:rPr>
          <w:rFonts w:hint="eastAsia" w:ascii="宋体" w:hAnsi="宋体" w:cs="宋体"/>
          <w:color w:val="auto"/>
          <w:szCs w:val="21"/>
          <w:highlight w:val="none"/>
          <w:lang w:val="en-US" w:eastAsia="zh-CN"/>
        </w:rPr>
        <w:t xml:space="preserve">本科学历</w:t>
      </w:r>
      <w:r>
        <w:rPr>
          <w:rFonts w:hint="eastAsia" w:ascii="宋体" w:hAnsi="宋体" w:eastAsia="宋体" w:cs="宋体"/>
          <w:color w:val="auto"/>
          <w:szCs w:val="21"/>
          <w:highlight w:val="none"/>
        </w:rPr>
        <w:t xml:space="preserve">的，每提供一人得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w:t>
      </w:r>
      <w:r>
        <w:rPr>
          <w:rFonts w:hint="eastAsia" w:ascii="宋体" w:hAnsi="宋体" w:eastAsia="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注：上述1-2项</w:t>
      </w:r>
      <w:r>
        <w:rPr>
          <w:rFonts w:hint="eastAsia" w:ascii="宋体" w:hAnsi="宋体" w:cs="宋体"/>
          <w:b/>
          <w:bCs/>
          <w:color w:val="auto"/>
          <w:szCs w:val="21"/>
          <w:highlight w:val="none"/>
          <w:lang w:val="en-US" w:eastAsia="zh-CN"/>
        </w:rPr>
        <w:t xml:space="preserve">响应</w:t>
      </w:r>
      <w:r>
        <w:rPr>
          <w:rFonts w:hint="eastAsia" w:ascii="宋体" w:hAnsi="宋体" w:eastAsia="宋体" w:cs="宋体"/>
          <w:b/>
          <w:bCs/>
          <w:color w:val="auto"/>
          <w:szCs w:val="21"/>
          <w:highlight w:val="none"/>
        </w:rPr>
        <w:t xml:space="preserve">文件中需提供配置人员</w:t>
      </w:r>
      <w:r>
        <w:rPr>
          <w:rFonts w:hint="eastAsia" w:ascii="宋体" w:hAnsi="宋体" w:eastAsia="宋体" w:cs="宋体"/>
          <w:b/>
          <w:bCs/>
          <w:color w:val="auto"/>
          <w:szCs w:val="21"/>
          <w:highlight w:val="none"/>
          <w:lang w:val="en-US" w:eastAsia="zh-CN"/>
        </w:rPr>
        <w:t xml:space="preserve">相关</w:t>
      </w:r>
      <w:r>
        <w:rPr>
          <w:rFonts w:hint="eastAsia" w:ascii="宋体" w:hAnsi="宋体" w:eastAsia="宋体" w:cs="宋体"/>
          <w:b/>
          <w:bCs/>
          <w:color w:val="auto"/>
          <w:szCs w:val="21"/>
          <w:highlight w:val="none"/>
        </w:rPr>
        <w:t xml:space="preserve">证书</w:t>
      </w:r>
      <w:r>
        <w:rPr>
          <w:rFonts w:hint="eastAsia" w:ascii="宋体" w:hAnsi="宋体" w:eastAsia="宋体" w:cs="宋体"/>
          <w:b/>
          <w:bCs/>
          <w:color w:val="auto"/>
          <w:szCs w:val="21"/>
          <w:highlight w:val="none"/>
          <w:lang w:val="en-US" w:eastAsia="zh-CN"/>
        </w:rPr>
        <w:t xml:space="preserve">扫描</w:t>
      </w:r>
      <w:r>
        <w:rPr>
          <w:rFonts w:hint="eastAsia" w:ascii="宋体" w:hAnsi="宋体" w:eastAsia="宋体" w:cs="宋体"/>
          <w:b/>
          <w:bCs/>
          <w:color w:val="auto"/>
          <w:szCs w:val="21"/>
          <w:highlight w:val="none"/>
        </w:rPr>
        <w:t xml:space="preserve">件</w:t>
      </w:r>
      <w:r>
        <w:rPr>
          <w:rFonts w:hint="eastAsia" w:ascii="宋体" w:hAnsi="宋体" w:eastAsia="宋体" w:cs="宋体"/>
          <w:b/>
          <w:bCs/>
          <w:color w:val="auto"/>
          <w:szCs w:val="21"/>
          <w:highlight w:val="none"/>
          <w:lang w:val="en-US" w:eastAsia="zh-CN"/>
        </w:rPr>
        <w:t xml:space="preserve">及</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val="en-US" w:eastAsia="zh-CN"/>
        </w:rPr>
        <w:t xml:space="preserve">为其缴纳的近三个月社保证明或返聘合同加盖</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val="en-US" w:eastAsia="zh-CN"/>
        </w:rPr>
        <w:t xml:space="preserve">公章，缺失、不符或不提供者，对应项不得分</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                                                                            </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3、不良执业行为记分或医疗事故承担主要责任的</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针对本项目配备的项目组人员</w:t>
      </w:r>
      <w:r>
        <w:rPr>
          <w:rFonts w:hint="eastAsia" w:ascii="宋体" w:hAnsi="宋体" w:eastAsia="宋体" w:cs="宋体"/>
          <w:color w:val="auto"/>
          <w:szCs w:val="21"/>
          <w:highlight w:val="none"/>
          <w:lang w:val="en-US" w:eastAsia="zh-CN"/>
        </w:rPr>
        <w:t xml:space="preserve">均未受到不良执业行为记分，或近5年未发生医疗事故的得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分；受到不良执业行为记分的，或者近5年发生医疗事故的不得分。</w:t>
      </w:r>
      <w:r>
        <w:rPr>
          <w:color w:val="auto"/>
          <w:highlight w:val="none"/>
        </w:rPr>
      </w:r>
      <w:r/>
    </w:p>
    <w:p>
      <w:pPr>
        <w:ind w:firstLine="420"/>
        <w:spacing w:line="360" w:lineRule="auto"/>
        <w:tabs>
          <w:tab w:val="left" w:pos="287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cs="宋体"/>
          <w:b/>
          <w:bCs/>
          <w:color w:val="auto"/>
          <w:szCs w:val="21"/>
          <w:highlight w:val="none"/>
          <w:lang w:val="en-US" w:eastAsia="zh-CN"/>
        </w:rPr>
        <w:t xml:space="preserve">响应</w:t>
      </w:r>
      <w:r>
        <w:rPr>
          <w:rFonts w:hint="eastAsia" w:ascii="宋体" w:hAnsi="宋体" w:eastAsia="宋体" w:cs="宋体"/>
          <w:b/>
          <w:bCs/>
          <w:color w:val="auto"/>
          <w:szCs w:val="21"/>
          <w:highlight w:val="none"/>
          <w:lang w:val="en-US" w:eastAsia="zh-CN"/>
        </w:rPr>
        <w:t xml:space="preserve">文件中提供承诺书加盖</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val="en-US" w:eastAsia="zh-CN"/>
        </w:rPr>
        <w:t xml:space="preserve">公章，缺失、不符或不提供者，对应项不得分</w:t>
      </w:r>
      <w:r>
        <w:rPr>
          <w:rFonts w:hint="eastAsia" w:ascii="宋体" w:hAnsi="宋体" w:cs="宋体"/>
          <w:b/>
          <w:bCs/>
          <w:color w:val="auto"/>
          <w:szCs w:val="21"/>
          <w:highlight w:val="none"/>
          <w:lang w:val="en-US" w:eastAsia="zh-CN"/>
        </w:rPr>
        <w:t xml:space="preserve">。</w:t>
      </w:r>
      <w:r>
        <w:rPr>
          <w:color w:val="auto"/>
          <w:highlight w:val="none"/>
        </w:rPr>
      </w:r>
      <w:r/>
    </w:p>
    <w:p>
      <w:pPr>
        <w:ind w:left="0" w:firstLine="422"/>
        <w:spacing w:line="360" w:lineRule="auto"/>
        <w:tabs>
          <w:tab w:val="left" w:pos="540"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（四）供应商综合评价（</w:t>
      </w:r>
      <w:r>
        <w:rPr>
          <w:rFonts w:hint="eastAsia" w:ascii="宋体" w:hAnsi="宋体" w:eastAsia="宋体" w:cs="宋体"/>
          <w:b/>
          <w:color w:val="auto"/>
          <w:szCs w:val="21"/>
          <w:highlight w:val="none"/>
          <w:lang w:val="en-US" w:eastAsia="zh-CN"/>
        </w:rPr>
        <w:t xml:space="preserve">1</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1、供应商具有三级综合医院（建设规模）的得3分，二级医院得2分，一级医院得1分</w:t>
      </w:r>
      <w:r>
        <w:rPr>
          <w:rFonts w:hint="eastAsia" w:ascii="宋体" w:hAnsi="宋体" w:eastAsia="宋体" w:cs="宋体"/>
          <w:color w:val="auto"/>
          <w:szCs w:val="21"/>
          <w:highlight w:val="none"/>
          <w:lang w:val="en-US" w:eastAsia="zh-CN"/>
        </w:rPr>
        <w:t xml:space="preserve">。</w:t>
      </w:r>
      <w:r>
        <w:rPr>
          <w:color w:val="auto"/>
          <w:highlight w:val="none"/>
        </w:rPr>
      </w:r>
      <w:r/>
    </w:p>
    <w:p>
      <w:pPr>
        <w:ind w:left="0" w:firstLine="422"/>
        <w:spacing w:line="360" w:lineRule="auto"/>
        <w:tabs>
          <w:tab w:val="left" w:pos="540" w:leader="none"/>
        </w:tabs>
        <w:rPr>
          <w:rFonts w:hint="eastAsia"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cs="宋体"/>
          <w:b/>
          <w:bCs/>
          <w:color w:val="auto"/>
          <w:szCs w:val="21"/>
          <w:highlight w:val="none"/>
          <w:lang w:val="en-US" w:eastAsia="zh-CN"/>
        </w:rPr>
        <w:t xml:space="preserve">响应文件中需提供相应证明材料加盖供应商公章，缺失、不符或不提供者，对应项不得分。   </w:t>
      </w:r>
      <w:r>
        <w:rPr>
          <w:rFonts w:hint="eastAsia" w:ascii="宋体" w:hAnsi="宋体" w:cs="宋体"/>
          <w:color w:val="auto"/>
          <w:szCs w:val="21"/>
          <w:highlight w:val="none"/>
          <w:lang w:val="en-US" w:eastAsia="zh-CN"/>
        </w:rPr>
        <w:t xml:space="preserve">                              </w:t>
      </w:r>
      <w:r>
        <w:rPr>
          <w:color w:val="auto"/>
          <w:highlight w:val="none"/>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2、供应商类似项目业绩比较（9分）    </w:t>
      </w:r>
      <w:r>
        <w:rPr>
          <w:rFonts w:hint="eastAsia" w:ascii="宋体" w:hAnsi="宋体" w:cs="宋体"/>
          <w:color w:val="auto"/>
          <w:szCs w:val="21"/>
          <w:highlight w:val="none"/>
          <w:lang w:val="en-US" w:eastAsia="zh-CN"/>
        </w:rPr>
        <w:br/>
      </w:r>
      <w:r>
        <w:rPr>
          <w:rFonts w:hint="eastAsia" w:ascii="宋体" w:hAnsi="宋体" w:cs="宋体"/>
          <w:color w:val="auto"/>
          <w:szCs w:val="21"/>
          <w:highlight w:val="none"/>
          <w:lang w:val="en-US" w:eastAsia="zh-CN"/>
        </w:rPr>
        <w:t xml:space="preserve">    供应商自2022年1月1日至今（以合同签订时间为准）独立承担过的类似服务项目，每提供一份有效业绩得3分，最高得9分</w:t>
      </w:r>
      <w:r>
        <w:rPr>
          <w:rFonts w:hint="eastAsia" w:ascii="宋体" w:hAnsi="宋体" w:eastAsia="宋体" w:cs="宋体"/>
          <w:color w:val="auto"/>
          <w:szCs w:val="21"/>
          <w:highlight w:val="none"/>
          <w:lang w:val="en-US" w:eastAsia="zh-CN"/>
        </w:rPr>
        <w:t xml:space="preserve">。</w:t>
      </w:r>
      <w:r>
        <w:rPr>
          <w:color w:val="auto"/>
          <w:highlight w:val="none"/>
        </w:rPr>
      </w:r>
      <w:r/>
    </w:p>
    <w:p>
      <w:pPr>
        <w:ind w:left="0" w:firstLine="422"/>
        <w:spacing w:line="360" w:lineRule="auto"/>
        <w:tabs>
          <w:tab w:val="left" w:pos="540" w:leader="none"/>
        </w:tabs>
        <w:rPr>
          <w:rFonts w:hint="eastAsia"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cs="宋体"/>
          <w:b/>
          <w:bCs/>
          <w:color w:val="auto"/>
          <w:szCs w:val="21"/>
          <w:highlight w:val="none"/>
          <w:lang w:val="en-US" w:eastAsia="zh-CN"/>
        </w:rPr>
        <w:t xml:space="preserve">响应文件中须提供合同扫描件加盖供应商公章，缺失、不符或不提供者，对应项不得分。</w:t>
      </w:r>
      <w:r>
        <w:rPr>
          <w:color w:val="auto"/>
          <w:highlight w:val="none"/>
        </w:rPr>
      </w:r>
      <w:r/>
    </w:p>
    <w:p>
      <w:pPr>
        <w:ind w:firstLine="420"/>
        <w:keepLines w:val="0"/>
        <w:keepNext w:val="0"/>
        <w:pageBreakBefore w:val="0"/>
        <w:spacing w:line="360" w:lineRule="auto"/>
        <w:tabs>
          <w:tab w:val="left" w:pos="89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ind w:firstLine="422"/>
        <w:keepLines w:val="0"/>
        <w:keepNext w:val="0"/>
        <w:pageBreakBefore w:val="0"/>
        <w:spacing w:line="360" w:lineRule="auto"/>
        <w:widowControl/>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lang w:bidi="ar"/>
        </w:rPr>
        <w:t xml:space="preserve">备</w:t>
      </w:r>
      <w:r>
        <w:rPr>
          <w:rFonts w:hint="eastAsia" w:ascii="宋体" w:hAnsi="宋体" w:eastAsia="宋体" w:cs="宋体"/>
          <w:b/>
          <w:color w:val="auto"/>
          <w:szCs w:val="21"/>
          <w:highlight w:val="none"/>
        </w:rPr>
        <w:t xml:space="preserve">注：</w:t>
      </w:r>
      <w:r>
        <w:rPr>
          <w:color w:val="auto"/>
          <w:highlight w:val="none"/>
        </w:rPr>
      </w:r>
      <w:r/>
    </w:p>
    <w:p>
      <w:pPr>
        <w:pStyle w:val="1016"/>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磋商总报价超过采购预算的将不进入综合评审程序，也不得成交</w:t>
      </w:r>
      <w:r>
        <w:rPr>
          <w:rFonts w:hint="eastAsia" w:ascii="宋体" w:hAnsi="宋体" w:eastAsia="宋体" w:cs="宋体"/>
          <w:color w:val="auto"/>
          <w:szCs w:val="21"/>
          <w:highlight w:val="none"/>
        </w:rPr>
        <w:t xml:space="preserve">。</w:t>
      </w:r>
      <w:r>
        <w:rPr>
          <w:color w:val="auto"/>
          <w:highlight w:val="none"/>
        </w:rPr>
      </w:r>
      <w:r/>
    </w:p>
    <w:p>
      <w:pPr>
        <w:pStyle w:val="1016"/>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2、合同履行期限、付款步骤如有负偏离的不得成交。</w:t>
      </w:r>
      <w:r>
        <w:rPr>
          <w:color w:val="auto"/>
          <w:highlight w:val="none"/>
        </w:rPr>
      </w:r>
      <w:r/>
    </w:p>
    <w:p>
      <w:pPr>
        <w:pStyle w:val="1016"/>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3、对评分标准中评分的每一条，</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均应提供相关资料并作出相应说明供评委评判。</w:t>
      </w:r>
      <w:r>
        <w:rPr>
          <w:color w:val="auto"/>
          <w:highlight w:val="none"/>
        </w:rPr>
      </w:r>
      <w:r/>
    </w:p>
    <w:p>
      <w:pPr>
        <w:pStyle w:val="1001"/>
        <w:ind w:left="0" w:firstLine="422"/>
        <w:jc w:val="left"/>
        <w:keepLines w:val="0"/>
        <w:keepNext w:val="0"/>
        <w:pageBreakBefore w:val="0"/>
        <w:spacing w:after="0"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4.响应文件中复印件或扫描件须清晰可辨，如因复印件或扫描件模糊，造成无法辨认，该项不得分。</w:t>
      </w:r>
      <w:r>
        <w:rPr>
          <w:color w:val="auto"/>
          <w:highlight w:val="none"/>
        </w:rPr>
      </w:r>
      <w:r/>
    </w:p>
    <w:p>
      <w:pPr>
        <w:pStyle w:val="1016"/>
        <w:ind w:firstLine="420"/>
        <w:jc w:val="left"/>
        <w:keepLines w:val="0"/>
        <w:keepNext w:val="0"/>
        <w:pageBreakBefore w:val="0"/>
        <w:spacing w:line="360" w:lineRule="auto"/>
        <w:tabs>
          <w:tab w:val="center" w:pos="4201" w:leader="none"/>
          <w:tab w:val="right" w:pos="9298" w:leader="dot"/>
        </w:tabs>
        <w:rPr>
          <w:rFonts w:hint="eastAsia" w:ascii="宋体" w:hAnsi="宋体" w:eastAsia="宋体" w:cs="宋体"/>
          <w:color w:val="auto"/>
          <w:highlight w:val="none"/>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ascii="宋体" w:hAnsi="宋体" w:eastAsia="宋体" w:cs="宋体"/>
          <w:color w:val="auto"/>
          <w:szCs w:val="21"/>
          <w:highlight w:val="none"/>
        </w:rPr>
        <w:t xml:space="preserve">5、响应文件中如出现前后不一致时,评委有权请</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澄清说明,澄清说明事项涉及评分时,评委有权酌情扣分</w:t>
      </w:r>
      <w:r>
        <w:rPr>
          <w:rFonts w:hint="eastAsia" w:hAnsi="宋体" w:cs="宋体"/>
          <w:color w:val="auto"/>
          <w:szCs w:val="21"/>
          <w:highlight w:val="none"/>
          <w:lang w:eastAsia="zh-CN"/>
        </w:rPr>
        <w:t xml:space="preserve">。</w:t>
      </w:r>
      <w:r>
        <w:rPr>
          <w:color w:val="auto"/>
          <w:highlight w:val="none"/>
        </w:rPr>
      </w:r>
      <w:r/>
    </w:p>
    <w:p>
      <w:pPr>
        <w:ind w:firstLine="643"/>
        <w:jc w:val="center"/>
        <w:spacing w:line="360" w:lineRule="auto"/>
        <w:rPr>
          <w:rFonts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rPr>
          <w:color w:val="auto"/>
          <w:highlight w:val="none"/>
        </w:rPr>
      </w:r>
      <w:r/>
    </w:p>
    <w:tbl>
      <w:tblPr>
        <w:tblStyle w:val="973"/>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甲方（采购人）：</w:t>
            </w:r>
            <w:r>
              <w:rPr>
                <w:color w:val="auto"/>
                <w:highlight w:val="none"/>
              </w:rPr>
            </w:r>
            <w:r/>
          </w:p>
        </w:tc>
        <w:tc>
          <w:tcPr>
            <w:tcW w:w="4552"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乙方（供应商）：</w:t>
            </w:r>
            <w:r>
              <w:rPr>
                <w:color w:val="auto"/>
                <w:highlight w:val="none"/>
              </w:rPr>
            </w:r>
            <w:r/>
          </w:p>
        </w:tc>
      </w:tr>
      <w:tr>
        <w:trPr>
          <w:jc w:val="right"/>
          <w:trHeight w:val="413"/>
        </w:trPr>
        <w:tc>
          <w:tcPr>
            <w:tcW w:w="414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单位地址：</w:t>
            </w:r>
            <w:r>
              <w:rPr>
                <w:color w:val="auto"/>
                <w:highlight w:val="none"/>
              </w:rPr>
            </w:r>
            <w:r/>
          </w:p>
        </w:tc>
        <w:tc>
          <w:tcPr>
            <w:tcW w:w="4552"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单位地址：</w:t>
            </w:r>
            <w:r>
              <w:rPr>
                <w:color w:val="auto"/>
                <w:highlight w:val="none"/>
              </w:rPr>
            </w:r>
            <w:r/>
          </w:p>
        </w:tc>
      </w:tr>
      <w:tr>
        <w:trPr>
          <w:jc w:val="right"/>
          <w:trHeight w:val="413"/>
        </w:trPr>
        <w:tc>
          <w:tcPr>
            <w:tcW w:w="414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联系人：</w:t>
            </w:r>
            <w:r>
              <w:rPr>
                <w:color w:val="auto"/>
                <w:highlight w:val="none"/>
              </w:rPr>
            </w:r>
            <w:r/>
          </w:p>
        </w:tc>
        <w:tc>
          <w:tcPr>
            <w:tcW w:w="4552"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联系人：</w:t>
            </w:r>
            <w:r>
              <w:rPr>
                <w:color w:val="auto"/>
                <w:highlight w:val="none"/>
              </w:rPr>
            </w:r>
            <w:r/>
          </w:p>
        </w:tc>
      </w:tr>
      <w:tr>
        <w:trPr>
          <w:jc w:val="right"/>
          <w:trHeight w:val="413"/>
        </w:trPr>
        <w:tc>
          <w:tcPr>
            <w:tcW w:w="414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联系电话：</w:t>
            </w:r>
            <w:r>
              <w:rPr>
                <w:color w:val="auto"/>
                <w:highlight w:val="none"/>
              </w:rPr>
            </w:r>
            <w:r/>
          </w:p>
        </w:tc>
        <w:tc>
          <w:tcPr>
            <w:tcW w:w="4552"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联系电话：</w:t>
            </w:r>
            <w:r>
              <w:rPr>
                <w:color w:val="auto"/>
                <w:highlight w:val="none"/>
              </w:rPr>
            </w:r>
            <w:r/>
          </w:p>
        </w:tc>
      </w:tr>
    </w:tbl>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执法办案管理中心采购医疗服务项目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JSZC-320509-SZYJ-C2025-0061</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政府采购的成交结果，确定乙方为本次成交供应商，现依照磋商文件、乙方的响应文件及相关文件的内容，签订本合同书。</w:t>
      </w:r>
      <w:r>
        <w:rPr>
          <w:color w:val="auto"/>
          <w:highlight w:val="none"/>
        </w:rPr>
      </w:r>
      <w:r/>
    </w:p>
    <w:p>
      <w:pPr>
        <w:ind w:firstLine="420"/>
        <w:keepLines w:val="0"/>
        <w:keepNext w:val="0"/>
        <w:pageBreakBefore w:val="0"/>
        <w:spacing w:before="157"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一、合同内容：</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1、乙方负责提供甲方所需的</w:t>
      </w:r>
      <w:r>
        <w:rPr>
          <w:rFonts w:hint="eastAsia" w:ascii="宋体" w:hAnsi="宋体" w:cs="宋体"/>
          <w:color w:val="auto"/>
          <w:szCs w:val="21"/>
          <w:highlight w:val="none"/>
          <w:u w:val="single"/>
          <w:lang w:eastAsia="zh-CN"/>
        </w:rPr>
        <w:t xml:space="preserve">执法办案管理中心采购医疗服务项目</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val="en-US" w:eastAsia="zh-CN"/>
        </w:rPr>
        <w:t xml:space="preserve">一年，自2025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日至</w:t>
      </w:r>
      <w:r>
        <w:rPr>
          <w:rFonts w:hint="eastAsia" w:ascii="宋体" w:hAnsi="宋体" w:cs="宋体"/>
          <w:color w:val="auto"/>
          <w:szCs w:val="21"/>
          <w:highlight w:val="none"/>
          <w:lang w:val="en-US" w:eastAsia="zh-CN"/>
        </w:rPr>
        <w:t xml:space="preserve">2026</w:t>
      </w:r>
      <w:r>
        <w:rPr>
          <w:rFonts w:hint="eastAsia" w:ascii="宋体" w:hAnsi="宋体" w:cs="宋体"/>
          <w:color w:val="auto"/>
          <w:szCs w:val="21"/>
          <w:highlight w:val="none"/>
        </w:rPr>
        <w:t xml:space="preserve"> 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服务地点：</w:t>
      </w:r>
      <w:r>
        <w:rPr>
          <w:rFonts w:hint="eastAsia" w:ascii="宋体" w:hAnsi="宋体" w:cs="宋体"/>
          <w:color w:val="auto"/>
          <w:szCs w:val="21"/>
          <w:highlight w:val="none"/>
          <w:lang w:val="en-US" w:eastAsia="zh-CN"/>
        </w:rPr>
        <w:t xml:space="preserve">甲方</w:t>
      </w:r>
      <w:r>
        <w:rPr>
          <w:rFonts w:hint="eastAsia" w:ascii="宋体" w:hAnsi="宋体" w:cs="宋体"/>
          <w:bCs/>
          <w:color w:val="auto"/>
          <w:szCs w:val="21"/>
          <w:highlight w:val="none"/>
        </w:rPr>
        <w:t xml:space="preserve">指定地点</w:t>
      </w:r>
      <w:r>
        <w:rPr>
          <w:rFonts w:hint="eastAsia" w:ascii="宋体" w:hAnsi="宋体" w:cs="宋体"/>
          <w:bCs/>
          <w:color w:val="auto"/>
          <w:szCs w:val="21"/>
          <w:highlight w:val="none"/>
          <w:lang w:eastAsia="zh-CN"/>
        </w:rPr>
        <w:t xml:space="preserve">。</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人员到岗时间：具体人员到岗时间由甲方以书面的形式通知乙方。</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、下列文件为本合同不可分割部分：</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① 成交通知书；</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② 乙方的磋商响应文件；</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③ 乙方在磋商过程中所作的其它承诺、声明、书面澄清等；</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④ 磋商文件及其附件；</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⑤ 合同附件。</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zh-CN" w:eastAsia="zh-CN"/>
        </w:rPr>
        <w:t xml:space="preserve">以上与本合同具有同等法律效力。</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二、合同的价格与支付：</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本合同总价款为：人民币（大写）：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（小写</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rPr>
          <w:rFonts w:hint="eastAsia" w:ascii="宋体" w:hAnsi="宋体" w:cs="宋体"/>
          <w:color w:val="auto"/>
          <w:highlight w:val="none"/>
          <w:lang w:val="en-US" w:eastAsia="zh-CN"/>
        </w:rPr>
        <w:t xml:space="preserve">包括完成该项工作所需的医务技术人员的工资、税金、社保、通讯费、设备费、检验、化验、打印、配套系统使用费、药品、各类耗材费用等全部费用以及采购代理服务费、成交单位企业利润和政策性文件规定及合同包含的所有风险、责任等各项应有费用。合同价格在合同实施期间不因市场变化因素而变动。</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2、付款步骤：合同签订生效且乙方缴纳合同总金额5%的履约保证金，甲方按季度支付服务费用，每期支付金额=合同总价/4-考核扣款，甲方应于上一个季度结束后的一个月内，向乙方支付服务费用。</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3、乙方要求付款应提供以下资料：合格的销售发票。</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4、支付方式：银行转账等。</w:t>
      </w:r>
      <w:r>
        <w:rPr>
          <w:color w:val="auto"/>
          <w:highlight w:val="none"/>
        </w:rPr>
      </w:r>
      <w:r/>
    </w:p>
    <w:p>
      <w:pPr>
        <w:ind w:firstLine="420"/>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5、根据现行税法对甲方征收的与本合同有关的一切税费均由甲方承担；根据现行税法对乙方征收的与本合同有关的一切税费均由乙方承担</w:t>
      </w:r>
      <w:r>
        <w:rPr>
          <w:rFonts w:hint="eastAsia" w:ascii="宋体" w:hAnsi="宋体" w:eastAsia="宋体" w:cs="宋体"/>
          <w:color w:val="auto"/>
          <w:szCs w:val="21"/>
          <w:highlight w:val="none"/>
        </w:rPr>
        <w:t xml:space="preserve">。</w:t>
      </w:r>
      <w:r>
        <w:rPr>
          <w:color w:val="auto"/>
          <w:highlight w:val="none"/>
        </w:rPr>
      </w:r>
      <w:r/>
    </w:p>
    <w:p>
      <w:pPr>
        <w:ind w:firstLine="420"/>
        <w:keepLines w:val="0"/>
        <w:keepNext w:val="0"/>
        <w:pageBreakBefore w:val="0"/>
        <w:spacing w:line="360" w:lineRule="auto"/>
        <w:tabs>
          <w:tab w:val="left" w:pos="2870" w:leader="none"/>
        </w:tabs>
        <w:rPr>
          <w:rFonts w:hint="default" w:ascii="宋体" w:hAnsi="宋体" w:cs="宋体"/>
          <w:color w:val="auto"/>
          <w:szCs w:val="21"/>
          <w:highlight w:val="none"/>
        </w:rPr>
      </w:pPr>
      <w:r>
        <w:rPr>
          <w:rFonts w:hint="eastAsia" w:ascii="宋体" w:hAnsi="宋体" w:cs="宋体"/>
          <w:color w:val="auto"/>
          <w:szCs w:val="21"/>
          <w:highlight w:val="none"/>
          <w:lang w:val="en-US" w:eastAsia="zh-CN"/>
        </w:rPr>
        <w:t xml:space="preserve">三、履约保证金：成交金额的5%</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（1）乙方应按规定提交履约保证金，以支票、汇票、本票或者金融机构、担保机构出具的保函等非现金形式提交。</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乙方必须在发出中标通知书后（合同签订前）的三日内按规定将履约保证金交至甲方指定账户。履约保证金用以约束供应商在合同履行中的行为，弥补合同执行中由于自身行为可能给甲方带来的各种损失。如果乙方不按照规定，甲方有权取消本次采购中标决定，并按投标（响应）保证承诺书中承诺履行违约赔偿。</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（3）履约保证金将在乙方货物全部到场，安装施工完成、验收合格且质保期满后退还履约保证金（无息）。</w:t>
      </w:r>
      <w:r>
        <w:rPr>
          <w:color w:val="auto"/>
          <w:highlight w:val="none"/>
        </w:rPr>
      </w:r>
      <w:r/>
    </w:p>
    <w:p>
      <w:pPr>
        <w:ind w:firstLine="420"/>
        <w:keepLines w:val="0"/>
        <w:keepNext w:val="0"/>
        <w:pageBreakBefore w:val="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四、服务内容及要求：</w:t>
      </w:r>
      <w:r>
        <w:rPr>
          <w:rFonts w:hint="eastAsia" w:ascii="宋体" w:hAnsi="宋体" w:eastAsia="宋体" w:cs="宋体"/>
          <w:b/>
          <w:color w:val="auto"/>
          <w:sz w:val="21"/>
          <w:szCs w:val="21"/>
          <w:highlight w:val="none"/>
        </w:rPr>
        <w:t xml:space="preserve">详见</w:t>
      </w:r>
      <w:r>
        <w:rPr>
          <w:rFonts w:hint="eastAsia" w:ascii="宋体" w:hAnsi="宋体" w:eastAsia="宋体" w:cs="宋体"/>
          <w:b/>
          <w:color w:val="auto"/>
          <w:sz w:val="21"/>
          <w:szCs w:val="21"/>
          <w:highlight w:val="none"/>
          <w:lang w:val="en-US" w:eastAsia="zh-CN"/>
        </w:rPr>
        <w:t xml:space="preserve">采购</w:t>
      </w:r>
      <w:r>
        <w:rPr>
          <w:rFonts w:hint="eastAsia" w:ascii="宋体" w:hAnsi="宋体" w:eastAsia="宋体" w:cs="宋体"/>
          <w:b/>
          <w:color w:val="auto"/>
          <w:sz w:val="21"/>
          <w:szCs w:val="21"/>
          <w:highlight w:val="none"/>
        </w:rPr>
        <w:t xml:space="preserve">文件</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五、其他要求：</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1、乙方须为本项目配备的所有医务技术人员按规定国家相关法律法规缴纳社会保险等，若医务技术人员在服务期间内出现的工伤及其他意外事故，均由乙方自行负责，甲方不承担任何责任。</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2、若乙方在人员外包服务管理期间，违反下列规定将被解除人员外包服务合同：</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 （1）严禁将承包的人员外包服务转包他人；</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 （2）未按照国家劳动法规定聘用服务人员；</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 （3）医务技术人员的人员工资、社保等不得低于本地区最新公布的最低标准。</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因乙方管理不善，造成秩序维护工作范围内的设施、设备等损坏的，由直接责任人赔偿，若直接责任人因故无法赔偿的，甲方有权要求乙方负责赔偿损失，情节严重的可终止合同甚至诉诸法律。如遇甲方办公场所调整或迁移等重大情况，甲方将提前一个月告知成交单位，合同内容经双方协商调整直至终止。</w:t>
      </w:r>
      <w:r>
        <w:rPr>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4、甲方有权检查监督乙方人员外包服务质量，对不称职的医务技术人员有权要求乙方在规定时间内更换，直至人选合格为止。</w:t>
      </w:r>
      <w:r>
        <w:rPr>
          <w:color w:val="auto"/>
          <w:highlight w:val="none"/>
        </w:rPr>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lang w:eastAsia="zh-CN"/>
        </w:rPr>
        <w:t xml:space="preserve">、甲、乙双方的责任：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（一）甲方责任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1、为乙方人员免费提供乙方所需必要的办公用房、办公家具、通讯线路等场所及设备。</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2、甲方应教育所属人员尊重乙方工作人员的劳动成果，积极配合乙方工作人员履行好合同所规定的职责和义务。</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3、负责向乙方提供服务所需的资料和附件。</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4、定期组织对乙方服务质量的考核、收集意见和建议，并将结果及时通报乙方。</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甲方应为乙方人员提供必要的安全预防及应急处理等培训，并确保乙方人员服务期限内人身安全，避免遭受人身或财产损害，如因甲方管理不善造成乙方人员或设备损坏的，甲方应当承担因此给乙方造成的损失。</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6、为乙方有效开展工作提供其他必要的便利。</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（二）乙方责任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乙方提供服务前，应提前向甲方提供人员的基本信息、资质证明，经甲方审核确认后，方可正式履行服务。如乙方在规定的时间内未能向甲方提供人员的基本信息、资质证明，或提供的资料不完整、不真实的，或未经甲方审核通过的，甲方有权要求改正。</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2、乙方经甲方审核通过后，由乙方合理安排人员。若因特殊原因进行调整人员的，应及时向甲方进行报备。</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3、在合同履行过程中乙方工作人员的工作未达到甲方工作要求的，甲方有权要求乙方在规定的时间内调换或增配服务人员，乙方应按甲方要求将人员安排到位，甲方不承担除合同约定以外的其他任何费用。</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4、如乙方在规定的时间内未按甲方要求，调换或增配服务人员的；未经甲方批准擅自调动、调整工作人员的，甲方有权通知乙方限期内及时调整。</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5、乙方在从事人员外包服务工作中应当做到文明工作，采取必要的安全防范措施，合同期内若因乙方原因导致发生安全事故，乙方应承担全部责任，并负责赔偿由此造成的损失。</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6、乙方应经常对员工进行岗位职责和安全教育，加强岗位责任考核。因管理不当、违规操作发生安全事故的，乙方应承担相应责任，并负责赔偿由此造成的损失。</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lang w:eastAsia="zh-CN"/>
        </w:rPr>
        <w:t xml:space="preserve">、违约责任：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1、合同一方不履行合同义务或者履行合同义务不符合约定的，应当承担继续履行、采取补救措施或者赔偿损失等违约责任。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2、在合同生效后，甲方无故要求取消此次服务的，应向乙方偿付合同总价款的5%作为违约金，违约金不足以补偿损失的，乙方有权要求甲方补足。</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3、乙方不能正常提供服务（逾期超过十五天视为不能提供）从而影响甲方按期正常使用的，应向甲方偿付合同总价款5%的违约金，违约金不足以补偿损失的，甲方有权要求乙方补足。</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4、因不可抗力不能履行合同的，根据不可抗力的影响，部分或者全部免除责任。但合同一方迟延履行后发生不可抗力的，不能免除责任。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5、合同一方因不可抗力不能履行合同的，应及时通知对方，以减轻可能给对方造成的损失，并应当在合理期限内提供证明。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在合同有效期内合同一方不得擅自变更或中止此项合同，如未经双方同意，擅自变更或中止此项的一方要负违约责任。此项合同需终止，应在实施期内提前通知对方。</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eastAsia="zh-CN"/>
        </w:rPr>
        <w:t xml:space="preserve">不可抗力：</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zh-CN" w:eastAsia="zh-CN"/>
        </w:rPr>
        <w:t xml:space="preserve">因不可抗力不能履行合同的，根据不可抗力的影响，部分或者全部免除责任。但合同一方迟延履行后发生不可抗力的，不能免除责任。</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lang w:val="zh-CN" w:eastAsia="zh-CN"/>
        </w:rPr>
        <w:t xml:space="preserve">合同一方因不可抗力不能履行合同的，应当及时通知对方，以减轻可能给对方造成的损失，并应当在合理期限内提供证明。</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、合同的解除和转让：</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1、合同的解除</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1）有下列情形之一，合同一方可以解除合同：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（1）因不可抗力致使不能实现合同目的，未受不可抗力影响的一方有权解除合同；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（2）因合同一方违约导致合同不能履行，另一方有权解除合同；</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 有权解除合同的一方，应当在违约事实或不可抗力发生之后三十天内书面通知对方以主张解除合同，合同在书面通知到达对方时解除。</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2、合同的转让：合同的部分和全部都不得转让。</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十、合同生效及其它：</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1、合同经</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eastAsia="zh-CN"/>
        </w:rPr>
        <w:t xml:space="preserve">代理机构加盖骑缝章，甲乙双方代表签字并加盖公章（或合同章）后生效，</w:t>
      </w:r>
      <w:r>
        <w:rPr>
          <w:rFonts w:hint="eastAsia" w:ascii="宋体" w:hAnsi="宋体" w:eastAsia="宋体" w:cs="宋体"/>
          <w:color w:val="auto"/>
          <w:szCs w:val="21"/>
          <w:highlight w:val="none"/>
          <w:lang w:val="zh-CN" w:eastAsia="zh-CN"/>
        </w:rPr>
        <w:t xml:space="preserve">并经苏州市吴江区财政局政府采购办备案</w:t>
      </w:r>
      <w:r>
        <w:rPr>
          <w:rFonts w:hint="eastAsia" w:ascii="宋体" w:hAnsi="宋体" w:eastAsia="宋体" w:cs="宋体"/>
          <w:color w:val="auto"/>
          <w:szCs w:val="21"/>
          <w:highlight w:val="none"/>
          <w:lang w:eastAsia="zh-CN"/>
        </w:rPr>
        <w:t xml:space="preserve">。</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合同在执行过程中出现的未尽事宜，双方在不违背本合同和采购文件的原则下协商解决，协商结果以书面形式盖章记录在案，作为本合同的附件，与本合同具有同等效力，但需向采购代理机构和政府采购管理部门提交一份备存。</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十</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eastAsia="zh-CN"/>
        </w:rPr>
        <w:t xml:space="preserve">、合同争议：</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甲乙双方因合同发生争议，应在采购代理机构的主持下进行调解，协商不成，任何一方可以向甲方所在地人民法院起诉。</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十</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、附则：</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1、合同份数：本合同正本一式</w:t>
      </w:r>
      <w:r>
        <w:rPr>
          <w:rFonts w:hint="eastAsia" w:ascii="宋体" w:hAnsi="宋体" w:cs="宋体"/>
          <w:color w:val="auto"/>
          <w:szCs w:val="21"/>
          <w:highlight w:val="none"/>
          <w:u w:val="single"/>
          <w:lang w:val="en-US" w:eastAsia="zh-CN"/>
        </w:rPr>
        <w:t xml:space="preserve">伍</w:t>
      </w:r>
      <w:r>
        <w:rPr>
          <w:rFonts w:hint="eastAsia" w:ascii="宋体" w:hAnsi="宋体" w:eastAsia="宋体" w:cs="宋体"/>
          <w:color w:val="auto"/>
          <w:szCs w:val="21"/>
          <w:highlight w:val="none"/>
          <w:lang w:eastAsia="zh-CN"/>
        </w:rPr>
        <w:t xml:space="preserve">份，具有同等法律效力，甲乙双方各</w:t>
      </w:r>
      <w:r>
        <w:rPr>
          <w:rFonts w:hint="eastAsia" w:ascii="宋体" w:hAnsi="宋体" w:cs="宋体"/>
          <w:color w:val="auto"/>
          <w:szCs w:val="21"/>
          <w:highlight w:val="none"/>
          <w:u w:val="single"/>
          <w:lang w:val="en-US" w:eastAsia="zh-CN"/>
        </w:rPr>
        <w:t xml:space="preserve">贰</w:t>
      </w:r>
      <w:r>
        <w:rPr>
          <w:rFonts w:hint="eastAsia" w:ascii="宋体" w:hAnsi="宋体" w:eastAsia="宋体" w:cs="宋体"/>
          <w:color w:val="auto"/>
          <w:szCs w:val="21"/>
          <w:highlight w:val="none"/>
          <w:lang w:eastAsia="zh-CN"/>
        </w:rPr>
        <w:t xml:space="preserve">份，采购代理机构执</w:t>
      </w:r>
      <w:r>
        <w:rPr>
          <w:rFonts w:hint="eastAsia" w:ascii="宋体" w:hAnsi="宋体" w:cs="宋体"/>
          <w:color w:val="auto"/>
          <w:szCs w:val="21"/>
          <w:highlight w:val="none"/>
          <w:u w:val="single"/>
          <w:lang w:val="en-US" w:eastAsia="zh-CN"/>
        </w:rPr>
        <w:t xml:space="preserve">壹</w:t>
      </w:r>
      <w:r>
        <w:rPr>
          <w:rFonts w:hint="eastAsia" w:ascii="宋体" w:hAnsi="宋体" w:eastAsia="宋体" w:cs="宋体"/>
          <w:color w:val="auto"/>
          <w:szCs w:val="21"/>
          <w:highlight w:val="none"/>
          <w:lang w:eastAsia="zh-CN"/>
        </w:rPr>
        <w:t xml:space="preserve">份。</w:t>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2、未尽事宜：本合同未尽事宜应按《中华人民共和国民法典》、《中华人民共和国政府采购法》等规定解释。</w:t>
      </w:r>
      <w:r>
        <w:rPr>
          <w:color w:val="auto"/>
          <w:highlight w:val="none"/>
        </w:rPr>
      </w:r>
      <w:r/>
    </w:p>
    <w:tbl>
      <w:tblPr>
        <w:tblStyle w:val="973"/>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603"/>
        </w:trPr>
        <w:tc>
          <w:tcPr>
            <w:tcW w:w="4360"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甲方（盖章）：</w:t>
            </w:r>
            <w:r>
              <w:rPr>
                <w:color w:val="auto"/>
                <w:highlight w:val="none"/>
              </w:rPr>
            </w:r>
            <w:r/>
          </w:p>
        </w:tc>
        <w:tc>
          <w:tcPr>
            <w:tcW w:w="4239"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乙方（盖章）：</w:t>
            </w:r>
            <w:r>
              <w:rPr>
                <w:color w:val="auto"/>
                <w:highlight w:val="none"/>
              </w:rPr>
            </w:r>
            <w:r/>
          </w:p>
        </w:tc>
      </w:tr>
      <w:tr>
        <w:trPr>
          <w:jc w:val="center"/>
          <w:trHeight w:val="570"/>
        </w:trPr>
        <w:tc>
          <w:tcPr>
            <w:tcW w:w="4360"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rPr>
                <w:color w:val="auto"/>
                <w:highlight w:val="none"/>
              </w:rPr>
            </w:r>
            <w:r/>
          </w:p>
        </w:tc>
        <w:tc>
          <w:tcPr>
            <w:tcW w:w="4239"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rPr>
                <w:color w:val="auto"/>
                <w:highlight w:val="none"/>
              </w:rPr>
            </w:r>
            <w:r/>
          </w:p>
        </w:tc>
      </w:tr>
      <w:tr>
        <w:trPr>
          <w:jc w:val="center"/>
          <w:trHeight w:val="631"/>
        </w:trPr>
        <w:tc>
          <w:tcPr>
            <w:tcW w:w="4360"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签订日期：</w:t>
            </w:r>
            <w:r>
              <w:rPr>
                <w:color w:val="auto"/>
                <w:highlight w:val="none"/>
              </w:rPr>
            </w:r>
            <w:r/>
          </w:p>
        </w:tc>
        <w:tc>
          <w:tcPr>
            <w:tcW w:w="4239"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签订日期：</w:t>
            </w:r>
            <w:r>
              <w:rPr>
                <w:color w:val="auto"/>
                <w:highlight w:val="none"/>
              </w:rPr>
            </w:r>
            <w:r/>
          </w:p>
        </w:tc>
      </w:tr>
      <w:tr>
        <w:trPr>
          <w:jc w:val="center"/>
          <w:trHeight w:val="649"/>
        </w:trPr>
        <w:tc>
          <w:tcPr>
            <w:tcW w:w="4360" w:type="dxa"/>
            <w:vAlign w:val="center"/>
            <w:textDirection w:val="lrTb"/>
            <w:noWrap w:val="false"/>
          </w:tcPr>
          <w:p>
            <w:pPr>
              <w:rPr>
                <w:rFonts w:ascii="宋体" w:hAnsi="宋体" w:cs="宋体"/>
                <w:bCs/>
                <w:color w:val="auto"/>
                <w:szCs w:val="32"/>
                <w:highlight w:val="none"/>
              </w:rPr>
            </w:pPr>
            <w:r>
              <w:rPr>
                <w:rFonts w:hint="eastAsia" w:ascii="宋体" w:hAnsi="宋体" w:cs="宋体"/>
                <w:bCs/>
                <w:color w:val="auto"/>
                <w:szCs w:val="32"/>
                <w:highlight w:val="none"/>
              </w:rPr>
              <w:t xml:space="preserve">代理机构（盖章）：</w:t>
            </w:r>
            <w:r>
              <w:rPr>
                <w:color w:val="auto"/>
                <w:highlight w:val="none"/>
              </w:rPr>
            </w:r>
            <w:r/>
          </w:p>
        </w:tc>
        <w:tc>
          <w:tcPr>
            <w:tcW w:w="4239" w:type="dxa"/>
            <w:vAlign w:val="center"/>
            <w:textDirection w:val="lrTb"/>
            <w:noWrap w:val="false"/>
          </w:tcPr>
          <w:p>
            <w:pPr>
              <w:rPr>
                <w:rFonts w:ascii="宋体" w:hAnsi="宋体" w:cs="宋体"/>
                <w:bCs/>
                <w:color w:val="auto"/>
                <w:szCs w:val="32"/>
                <w:highlight w:val="none"/>
              </w:rPr>
            </w:pPr>
            <w:r>
              <w:rPr>
                <w:rFonts w:ascii="宋体" w:hAnsi="宋体" w:cs="宋体"/>
                <w:bCs/>
                <w:color w:val="auto"/>
                <w:szCs w:val="32"/>
                <w:highlight w:val="none"/>
              </w:rPr>
            </w:r>
            <w:r>
              <w:rPr>
                <w:color w:val="auto"/>
                <w:highlight w:val="none"/>
              </w:rPr>
            </w:r>
            <w:r/>
          </w:p>
        </w:tc>
      </w:tr>
    </w:tbl>
    <w:p>
      <w:pPr>
        <w:pStyle w:val="979"/>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rPr>
          <w:rFonts w:hint="eastAsia" w:ascii="宋体" w:hAnsi="宋体" w:eastAsia="宋体" w:cs="宋体"/>
          <w:b/>
          <w:bCs/>
          <w:color w:val="auto"/>
          <w:szCs w:val="21"/>
          <w:highlight w:val="none"/>
        </w:rPr>
      </w:pPr>
      <w:r>
        <w:rPr>
          <w:rFonts w:hint="eastAsia" w:ascii="宋体" w:hAnsi="宋体" w:cs="宋体"/>
          <w:color w:val="auto"/>
          <w:highlight w:val="none"/>
        </w:rPr>
        <w:br w:type="page" w:clear="all"/>
      </w:r>
      <w:r>
        <w:rPr>
          <w:rFonts w:hint="eastAsia" w:ascii="宋体" w:hAnsi="宋体" w:eastAsia="宋体" w:cs="宋体"/>
          <w:b/>
          <w:bCs/>
          <w:color w:val="auto"/>
          <w:szCs w:val="21"/>
          <w:highlight w:val="none"/>
        </w:rPr>
        <w:t xml:space="preserve">合同附件：</w:t>
      </w:r>
      <w:r>
        <w:rPr>
          <w:color w:val="auto"/>
          <w:highlight w:val="none"/>
        </w:rPr>
      </w:r>
      <w:r/>
    </w:p>
    <w:p>
      <w:pPr>
        <w:ind w:firstLine="422"/>
        <w:jc w:val="center"/>
        <w:spacing w:line="360" w:lineRule="auto"/>
        <w:rPr>
          <w:rFonts w:hint="eastAsia" w:ascii="Calibri" w:hAnsi="Calibri" w:eastAsia="宋体" w:cs="Times New Roman"/>
          <w:b/>
          <w:bCs/>
          <w:color w:val="auto"/>
          <w:sz w:val="21"/>
          <w:szCs w:val="21"/>
          <w:highlight w:val="none"/>
        </w:rPr>
      </w:pPr>
      <w:r>
        <w:rPr>
          <w:rFonts w:hint="eastAsia" w:ascii="Calibri" w:hAnsi="Calibri" w:eastAsia="宋体" w:cs="Times New Roman"/>
          <w:b/>
          <w:bCs/>
          <w:color w:val="auto"/>
          <w:sz w:val="21"/>
          <w:szCs w:val="21"/>
          <w:highlight w:val="none"/>
          <w:lang w:val="en-US" w:eastAsia="zh-CN" w:bidi="ar-SA"/>
        </w:rPr>
        <w:t xml:space="preserve">《执法办案管理中心医疗服务质量考评细则》</w:t>
      </w:r>
      <w:r>
        <w:rPr>
          <w:color w:val="auto"/>
          <w:highlight w:val="none"/>
        </w:rPr>
      </w:r>
      <w:r/>
    </w:p>
    <w:tbl>
      <w:tblPr>
        <w:tblStyle w:val="973"/>
        <w:tblW w:w="94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0"/>
        <w:gridCol w:w="1338"/>
        <w:gridCol w:w="3150"/>
        <w:gridCol w:w="3480"/>
        <w:gridCol w:w="830"/>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考核项目</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考核要点</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计分原则</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得分</w:t>
            </w:r>
            <w:r>
              <w:rPr>
                <w:color w:val="auto"/>
                <w:highlight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从业资格（20分）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1、上岗医护技人员应具备相应的从业资格证；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2、定期参加专业培训并考核合格。</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未达标每发现一人次扣5分。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工作纪律（20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1、人员应准时到岗到位；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2、仪容仪表符合规范：衣帽整洁；佩戴工牌；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3、不得迟到早退。</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1、发生迟到早退每人次扣4分；2、仪容仪表不符合规范，每项每人次扣2分；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3、工作时间不做与工作无关的事，若发现每人次扣5分；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4、各室管理不规范每室每次扣3分。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工作质量（20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1、严格遵守救助中心相关工作制度；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2、严格执行消毒隔离制度；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3、医疗设备定期维护校准，确保检测结果准确；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4、保证各室及备用物品、药品齐全，功能完好，备用状态；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5、保证突发医疗事件响应速度与处置流程规范；确保体检人员获得医院诊治支持。</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1、违反相关制度一票否决调离岗位；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2、任何原因造成体检结果错误或不能在合理时间内出具体检报告或书面意见，造成收押、收拘工作影响并导致后果的，每次扣5分；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3、未执行消毒隔离相关要求，每次扣5分。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规章制度（10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1、严格遵守公安局相关制度。如隐私保护制度，避免泄露个人信息及病历资料；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2、认真执行交接班制度，医护配合流畅；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3、建立各台账文档，如医废收取、药品库存等。</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因违反相关规定制度、流程导致不良后果的，视情节轻重每次扣4~6分，未及时交接班，台账文档归类的，每次扣4分。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人事管理（20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轮岗不宜太过频繁，特殊情况需要临时更换派驻人员的，中标单位应提前与苏州南部执法办案管理中心沟通，双方达成一致意见后方可更换。</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中标单位擅自更换医技人员每次扣5分；因临时更换派驻人员导致工作失误并造成不良后果的，每次扣10分。有缺人缺岗情况的，每人每日扣8分。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信息系统（10</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中标单位应保证体检信息系统、各设备的接口软件成熟有效，能可靠地运行。若体检信息系统、接口软件发生故障，中标单位应保证及时安排维修，确保医疗救助中心的正常运行。</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不能在合理时间内及时修复，导致看守所收押、收拘工作受到严重影响的，每次扣5分。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86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合计得分</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bottom"/>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86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考核人签字</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bottom"/>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r>
        <w:trP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86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日期：</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bottom"/>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color w:val="auto"/>
                <w:highlight w:val="none"/>
              </w:rPr>
            </w:r>
            <w:r/>
          </w:p>
        </w:tc>
      </w:tr>
    </w:tbl>
    <w:p>
      <w:pPr>
        <w:ind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r>
      <w:r>
        <w:rPr>
          <w:color w:val="auto"/>
          <w:highlight w:val="none"/>
        </w:rPr>
      </w:r>
      <w:r/>
    </w:p>
    <w:p>
      <w:pPr>
        <w:ind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cs="宋体"/>
          <w:color w:val="auto"/>
          <w:szCs w:val="21"/>
          <w:highlight w:val="none"/>
          <w:lang w:val="en-US" w:eastAsia="zh-CN"/>
        </w:rPr>
        <w:t xml:space="preserve">注：</w:t>
      </w:r>
      <w:r>
        <w:rPr>
          <w:rFonts w:hint="eastAsia" w:ascii="宋体" w:hAnsi="宋体" w:eastAsia="宋体" w:cs="宋体"/>
          <w:color w:val="auto"/>
          <w:szCs w:val="21"/>
          <w:highlight w:val="none"/>
          <w:lang w:val="en-US" w:eastAsia="zh-CN"/>
        </w:rPr>
        <w:t xml:space="preserve">办案单位将每季度对</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医疗服务质量进行考评，考评以百分制进行。当季考评得分高于</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（含）</w:t>
      </w:r>
      <w:r>
        <w:rPr>
          <w:rFonts w:hint="eastAsia" w:ascii="宋体" w:hAnsi="宋体" w:eastAsia="宋体" w:cs="宋体"/>
          <w:color w:val="auto"/>
          <w:szCs w:val="21"/>
          <w:highlight w:val="none"/>
          <w:lang w:val="en-US" w:eastAsia="zh-CN"/>
        </w:rPr>
        <w:t xml:space="preserve">的，则当季按照合同规定支付全部费用；若当季考评得分</w:t>
      </w:r>
      <w:r>
        <w:rPr>
          <w:rFonts w:hint="eastAsia" w:ascii="宋体" w:hAnsi="宋体" w:cs="宋体"/>
          <w:color w:val="auto"/>
          <w:szCs w:val="21"/>
          <w:highlight w:val="none"/>
          <w:lang w:val="en-US" w:eastAsia="zh-CN"/>
        </w:rPr>
        <w:t xml:space="preserve">80分（含）-9</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（不含）</w:t>
      </w:r>
      <w:r>
        <w:rPr>
          <w:rFonts w:hint="eastAsia" w:ascii="宋体" w:hAnsi="宋体" w:eastAsia="宋体" w:cs="宋体"/>
          <w:color w:val="auto"/>
          <w:szCs w:val="21"/>
          <w:highlight w:val="none"/>
          <w:lang w:val="en-US" w:eastAsia="zh-CN"/>
        </w:rPr>
        <w:t xml:space="preserve">的，则当季按照合同支付服务费用的</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0%；若当季考评得分</w:t>
      </w:r>
      <w:r>
        <w:rPr>
          <w:rFonts w:hint="eastAsia" w:ascii="宋体" w:hAnsi="宋体" w:cs="宋体"/>
          <w:color w:val="auto"/>
          <w:szCs w:val="21"/>
          <w:highlight w:val="none"/>
          <w:lang w:val="en-US" w:eastAsia="zh-CN"/>
        </w:rPr>
        <w:t xml:space="preserve">70分（含）-8</w:t>
      </w:r>
      <w:r>
        <w:rPr>
          <w:rFonts w:hint="eastAsia" w:ascii="宋体" w:hAnsi="宋体" w:eastAsia="宋体" w:cs="宋体"/>
          <w:color w:val="auto"/>
          <w:szCs w:val="21"/>
          <w:highlight w:val="none"/>
          <w:lang w:val="en-US" w:eastAsia="zh-CN"/>
        </w:rPr>
        <w:t xml:space="preserve">0分</w:t>
      </w:r>
      <w:r>
        <w:rPr>
          <w:rFonts w:hint="eastAsia" w:ascii="宋体" w:hAnsi="宋体" w:cs="宋体"/>
          <w:color w:val="auto"/>
          <w:szCs w:val="21"/>
          <w:highlight w:val="none"/>
          <w:lang w:val="en-US" w:eastAsia="zh-CN"/>
        </w:rPr>
        <w:t xml:space="preserve">（不含）</w:t>
      </w:r>
      <w:r>
        <w:rPr>
          <w:rFonts w:hint="eastAsia" w:ascii="宋体" w:hAnsi="宋体" w:eastAsia="宋体" w:cs="宋体"/>
          <w:color w:val="auto"/>
          <w:szCs w:val="21"/>
          <w:highlight w:val="none"/>
          <w:lang w:val="en-US" w:eastAsia="zh-CN"/>
        </w:rPr>
        <w:t xml:space="preserve">的，则当季按照合同支付服务费用的80%；若当季考评得分低于</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0分的，则可视作</w:t>
      </w:r>
      <w:r>
        <w:rPr>
          <w:rFonts w:hint="eastAsia" w:ascii="宋体"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违约</w:t>
      </w:r>
      <w:r>
        <w:rPr>
          <w:rFonts w:hint="eastAsia" w:ascii="宋体" w:hAnsi="宋体" w:cs="宋体"/>
          <w:color w:val="auto"/>
          <w:szCs w:val="21"/>
          <w:highlight w:val="none"/>
          <w:lang w:val="en-US" w:eastAsia="zh-CN"/>
        </w:rPr>
        <w:t xml:space="preserve">。</w:t>
      </w:r>
      <w:r>
        <w:rPr>
          <w:color w:val="auto"/>
          <w:highlight w:val="none"/>
        </w:rPr>
      </w:r>
      <w:r/>
    </w:p>
    <w:p>
      <w:pPr>
        <w:pStyle w:val="974"/>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r>
      <w:r>
        <w:rPr>
          <w:color w:val="auto"/>
          <w:highlight w:val="none"/>
        </w:rPr>
      </w:r>
      <w:r/>
    </w:p>
    <w:p>
      <w:pPr>
        <w:pStyle w:val="975"/>
        <w:rPr>
          <w:rFonts w:hint="eastAsia"/>
          <w:color w:val="auto"/>
          <w:highlight w:val="none"/>
        </w:rPr>
      </w:pPr>
      <w:r>
        <w:rPr>
          <w:rFonts w:hint="eastAsia"/>
          <w:color w:val="auto"/>
          <w:highlight w:val="none"/>
          <w:lang w:val="en-US" w:eastAsia="zh-CN"/>
        </w:rPr>
      </w:r>
      <w:r>
        <w:rPr>
          <w:color w:val="auto"/>
          <w:highlight w:val="none"/>
        </w:rPr>
      </w:r>
      <w:r/>
    </w:p>
    <w:p>
      <w:pPr>
        <w:jc w:val="center"/>
        <w:pageBreakBefore/>
        <w:rPr>
          <w:rFonts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rPr>
          <w:color w:val="auto"/>
          <w:highlight w:val="none"/>
        </w:rPr>
      </w:r>
      <w:r/>
    </w:p>
    <w:p>
      <w:pPr>
        <w:spacing w:line="360" w:lineRule="auto"/>
        <w:rPr>
          <w:rFonts w:ascii="宋体" w:hAnsi="宋体" w:cs="宋体"/>
          <w:b/>
          <w:color w:val="auto"/>
          <w:spacing w:val="20"/>
          <w:szCs w:val="21"/>
          <w:highlight w:val="none"/>
        </w:rPr>
      </w:pPr>
      <w:r>
        <w:rPr>
          <w:rFonts w:hint="eastAsia" w:ascii="宋体" w:hAnsi="宋体" w:cs="宋体"/>
          <w:b/>
          <w:color w:val="auto"/>
          <w:szCs w:val="21"/>
          <w:highlight w:val="none"/>
        </w:rPr>
        <w:t xml:space="preserve">附件1：</w:t>
      </w:r>
      <w:r>
        <w:rPr>
          <w:rFonts w:hint="eastAsia" w:ascii="宋体" w:hAnsi="宋体" w:cs="宋体"/>
          <w:b/>
          <w:color w:val="auto"/>
          <w:spacing w:val="20"/>
          <w:szCs w:val="21"/>
          <w:highlight w:val="none"/>
        </w:rPr>
        <w:t xml:space="preserve">磋商响应函</w:t>
      </w:r>
      <w:r>
        <w:rPr>
          <w:color w:val="auto"/>
          <w:highlight w:val="none"/>
        </w:rPr>
      </w:r>
      <w:r/>
    </w:p>
    <w:p>
      <w:pPr>
        <w:pStyle w:val="1016"/>
        <w:jc w:val="center"/>
        <w:rPr>
          <w:rFonts w:hAnsi="宋体" w:cs="宋体"/>
          <w:color w:val="auto"/>
          <w:highlight w:val="none"/>
        </w:rPr>
      </w:pPr>
      <w:r>
        <w:rPr>
          <w:rFonts w:hint="eastAsia" w:hAnsi="宋体" w:cs="宋体"/>
          <w:b/>
          <w:color w:val="auto"/>
          <w:spacing w:val="20"/>
          <w:sz w:val="24"/>
          <w:szCs w:val="24"/>
          <w:highlight w:val="none"/>
        </w:rPr>
        <w:t xml:space="preserve">磋商响应函</w:t>
      </w:r>
      <w:r>
        <w:rPr>
          <w:color w:val="auto"/>
          <w:highlight w:val="none"/>
        </w:rPr>
      </w:r>
      <w:r/>
    </w:p>
    <w:p>
      <w:pPr>
        <w:pStyle w:val="975"/>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磋商文件，经仔细阅读和研究，我们决定参加本次磋商。</w:t>
      </w:r>
      <w:r>
        <w:rPr>
          <w:color w:val="auto"/>
          <w:highlight w:val="none"/>
        </w:rPr>
      </w:r>
      <w:r/>
    </w:p>
    <w:p>
      <w:pPr>
        <w:ind w:firstLine="411"/>
        <w:keepLines w:val="0"/>
        <w:keepNext w:val="0"/>
        <w:pageBreakBefore w:val="0"/>
        <w:spacing w:line="360" w:lineRule="auto"/>
        <w:widowControl w:val="off"/>
        <w:rPr>
          <w:rFonts w:hint="eastAsia" w:ascii="宋体" w:hAnsi="宋体" w:eastAsia="宋体" w:cs="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、我们愿意按照磋商文件的一切要求，提供本次采购的</w:t>
      </w:r>
      <w:r>
        <w:rPr>
          <w:rFonts w:hint="eastAsia" w:ascii="宋体" w:hAnsi="宋体"/>
          <w:color w:val="auto"/>
          <w:szCs w:val="21"/>
          <w:highlight w:val="none"/>
          <w:u w:val="single"/>
          <w:lang w:eastAsia="zh-CN"/>
        </w:rPr>
        <w:t xml:space="preserve">执法办案管理中心采购医疗服务项目</w:t>
      </w:r>
      <w:r>
        <w:rPr>
          <w:rFonts w:hint="eastAsia" w:ascii="宋体" w:hAnsi="宋体"/>
          <w:color w:val="auto"/>
          <w:szCs w:val="21"/>
          <w:highlight w:val="none"/>
          <w:u w:val="none"/>
          <w:lang w:eastAsia="zh-CN"/>
        </w:rPr>
        <w:t xml:space="preserve">，</w:t>
      </w:r>
      <w:r>
        <w:rPr>
          <w:rFonts w:hint="eastAsia" w:ascii="宋体" w:hAnsi="宋体"/>
          <w:color w:val="auto"/>
          <w:szCs w:val="21"/>
          <w:highlight w:val="none"/>
        </w:rPr>
        <w:t xml:space="preserve">总价格及明细见《磋商响应报价表》。</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、如果我们的响应文件被接受，我们将严格履行磋商文件中规定的每一项要求，按期、按质、按量履行服务义务。  </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w:t>
      </w:r>
      <w:r>
        <w:rPr>
          <w:rFonts w:hint="eastAsia" w:ascii="宋体" w:hAnsi="宋体"/>
          <w:color w:val="auto"/>
          <w:szCs w:val="21"/>
          <w:highlight w:val="none"/>
          <w:lang w:eastAsia="zh-CN"/>
        </w:rPr>
        <w:t xml:space="preserve">按照</w:t>
      </w:r>
      <w:r>
        <w:rPr>
          <w:rFonts w:hint="eastAsia" w:ascii="宋体" w:hAnsi="宋体"/>
          <w:color w:val="auto"/>
          <w:szCs w:val="21"/>
          <w:highlight w:val="none"/>
        </w:rPr>
        <w:t xml:space="preserve">磋商文件中的规定，本响应文件的有效期限为自磋商之日起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eastAsia="zh-CN"/>
        </w:rPr>
        <w:t xml:space="preserve">苏州市吴江区盛泽镇人民政府</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ascii="宋体" w:hAnsi="宋体"/>
          <w:color w:val="auto"/>
          <w:szCs w:val="21"/>
          <w:highlight w:val="none"/>
          <w:lang w:val="zh-CN"/>
        </w:rPr>
        <w:t xml:space="preserve">逾期按中国人民银行公布的同期人民币贷款最高利率计付利息。</w:t>
      </w:r>
      <w:r>
        <w:rPr>
          <w:color w:val="auto"/>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9、我们愿意按照《中华人民共和国民法典》履行自己应该承担的全部责任。</w:t>
      </w:r>
      <w:r>
        <w:rPr>
          <w:color w:val="auto"/>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rPr>
          <w:color w:val="auto"/>
          <w:highlight w:val="none"/>
        </w:rPr>
      </w:r>
      <w:r/>
    </w:p>
    <w:p>
      <w:pPr>
        <w:ind w:firstLine="420"/>
        <w:spacing w:line="360" w:lineRule="auto"/>
        <w:rPr>
          <w:rFonts w:hAnsi="宋体"/>
          <w:color w:val="auto"/>
          <w:szCs w:val="21"/>
          <w:highlight w:val="none"/>
        </w:rPr>
      </w:pPr>
      <w:r>
        <w:rPr>
          <w:rFonts w:hint="eastAsia" w:ascii="宋体" w:hAnsi="宋体" w:cs="宋体"/>
          <w:color w:val="auto"/>
          <w:szCs w:val="21"/>
          <w:highlight w:val="none"/>
        </w:rPr>
        <w:t xml:space="preserve">11、所有</w:t>
      </w:r>
      <w:r>
        <w:rPr>
          <w:rFonts w:hint="eastAsia" w:hAnsi="宋体"/>
          <w:color w:val="auto"/>
          <w:szCs w:val="21"/>
          <w:highlight w:val="none"/>
        </w:rPr>
        <w:t xml:space="preserve">有关标书的函电，请按下列地址联系：</w:t>
      </w:r>
      <w:r>
        <w:rPr>
          <w:color w:val="auto"/>
          <w:highlight w:val="none"/>
        </w:rPr>
      </w:r>
      <w:r/>
    </w:p>
    <w:p>
      <w:pPr>
        <w:pStyle w:val="107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单    位：                     联 系 人：                         </w:t>
      </w:r>
      <w:r>
        <w:rPr>
          <w:color w:val="auto"/>
          <w:highlight w:val="none"/>
        </w:rPr>
      </w:r>
      <w:r/>
    </w:p>
    <w:p>
      <w:pPr>
        <w:pStyle w:val="107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地    址：                     邮政编码：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                     传    真：</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pStyle w:val="975"/>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975"/>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rPr>
          <w:color w:val="auto"/>
          <w:highlight w:val="none"/>
        </w:rPr>
      </w:r>
      <w:r/>
    </w:p>
    <w:p>
      <w:pPr>
        <w:pStyle w:val="975"/>
        <w:ind w:firstLine="20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附件2：（磋商供应商）法定代表人授权委托书</w:t>
      </w:r>
      <w:r>
        <w:rPr>
          <w:color w:val="auto"/>
          <w:highlight w:val="none"/>
        </w:rPr>
      </w:r>
      <w:r/>
    </w:p>
    <w:p>
      <w:pPr>
        <w:pStyle w:val="975"/>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975"/>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rPr>
          <w:color w:val="auto"/>
          <w:highlight w:val="none"/>
        </w:rPr>
      </w:r>
      <w:r/>
    </w:p>
    <w:p>
      <w:pPr>
        <w:pStyle w:val="975"/>
        <w:ind w:firstLine="480"/>
        <w:spacing w:line="360" w:lineRule="auto"/>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rPr>
          <w:color w:val="auto"/>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rPr>
          <w:color w:val="auto"/>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rPr>
          <w:color w:val="auto"/>
          <w:highlight w:val="none"/>
        </w:rPr>
      </w:r>
      <w:r/>
    </w:p>
    <w:p>
      <w:pPr>
        <w:pStyle w:val="975"/>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highlight w:val="none"/>
        </w:rPr>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供应商：（公章）</w:t>
      </w:r>
      <w:r>
        <w:rPr>
          <w:color w:val="auto"/>
          <w:highlight w:val="none"/>
        </w:rPr>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：（签字或盖章）</w:t>
      </w:r>
      <w:r>
        <w:rPr>
          <w:color w:val="auto"/>
          <w:highlight w:val="none"/>
        </w:rPr>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rPr>
          <w:color w:val="auto"/>
          <w:highlight w:val="none"/>
        </w:rPr>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pStyle w:val="1016"/>
        <w:rPr>
          <w:rFonts w:hAnsi="宋体" w:cs="宋体"/>
          <w:color w:val="auto"/>
          <w:szCs w:val="24"/>
          <w:highlight w:val="none"/>
        </w:rPr>
      </w:pPr>
      <w:r>
        <w:rPr>
          <w:rFonts w:hAnsi="宋体" w:cs="宋体"/>
          <w:color w:val="auto"/>
          <w:szCs w:val="24"/>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br w:type="page" w:clear="all"/>
      </w:r>
      <w:r>
        <w:rPr>
          <w:color w:val="auto"/>
          <w:highlight w:val="none"/>
        </w:rPr>
      </w:r>
      <w:r/>
    </w:p>
    <w:p>
      <w:pPr>
        <w:ind w:right="48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附件3：开标一览表</w:t>
      </w:r>
      <w:r>
        <w:rPr>
          <w:color w:val="auto"/>
          <w:highlight w:val="none"/>
        </w:rPr>
      </w:r>
      <w:r/>
    </w:p>
    <w:p>
      <w:pPr>
        <w:jc w:val="center"/>
        <w:spacing w:line="360" w:lineRule="auto"/>
        <w:rPr>
          <w:color w:val="auto"/>
          <w:highlight w:val="none"/>
        </w:rPr>
      </w:pPr>
      <w:r>
        <w:rPr>
          <w:rFonts w:hint="eastAsia" w:ascii="宋体" w:hAnsi="宋体"/>
          <w:b/>
          <w:color w:val="auto"/>
          <w:sz w:val="24"/>
          <w:highlight w:val="none"/>
          <w:lang w:val="en-US" w:eastAsia="zh-CN"/>
        </w:rPr>
        <w:t xml:space="preserve">开标一览表</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供应商全称（加盖公章）：供应商名称 </w:t>
      </w:r>
      <w:r>
        <w:rPr>
          <w:color w:val="auto"/>
          <w:highlight w:val="none"/>
        </w:rPr>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项目编号：项目编号 </w:t>
      </w:r>
      <w:r>
        <w:rPr>
          <w:color w:val="auto"/>
          <w:highlight w:val="none"/>
        </w:rPr>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分包号：分包号 </w:t>
      </w:r>
      <w:r>
        <w:rPr>
          <w:color w:val="auto"/>
          <w:highlight w:val="none"/>
        </w:rPr>
      </w:r>
      <w:r/>
    </w:p>
    <w:tbl>
      <w:tblPr>
        <w:tblStyle w:val="97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w:t>
            </w: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投标总报价</w:t>
            </w:r>
            <w:r>
              <w:rPr>
                <w:color w:val="auto"/>
                <w:highlight w:val="none"/>
              </w:rPr>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 </w:t>
            </w: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小写：</w:t>
            </w:r>
            <w:r>
              <w:rPr>
                <w:rFonts w:ascii="宋体" w:hAnsi="宋体" w:cs="Times New Roman"/>
                <w:color w:val="auto"/>
                <w:szCs w:val="21"/>
                <w:highlight w:val="none"/>
              </w:rPr>
              <mc:AlternateContent>
                <mc:Choice Requires="wpg">
                  <w:drawing>
                    <wp:inline xmlns:wp="http://schemas.openxmlformats.org/drawingml/2006/wordprocessingDrawing" distT="0" distB="0" distL="0" distR="0">
                      <wp:extent cx="635" cy="0"/>
                      <wp:effectExtent l="0" t="4445" r="0" b="5080"/>
                      <wp:docPr id="5"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Times New Roman"/>
                <w:color w:val="auto"/>
                <w:szCs w:val="21"/>
                <w:highlight w:val="none"/>
              </w:rPr>
              <w:t xml:space="preserve"> （元人民币）</w:t>
            </w:r>
            <w:r>
              <w:rPr>
                <w:color w:val="auto"/>
                <w:highlight w:val="none"/>
              </w:rPr>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投标报价大写金额</w:t>
            </w: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金额大写 </w:t>
            </w:r>
            <w:r>
              <w:rPr>
                <w:color w:val="auto"/>
                <w:highlight w:val="none"/>
              </w:rPr>
            </w:r>
            <w:r/>
          </w:p>
        </w:tc>
      </w:tr>
    </w:tbl>
    <w:p>
      <w:pPr>
        <w:jc w:val="right"/>
        <w:spacing w:before="100" w:beforeAutospacing="1" w:after="100" w:afterAutospacing="1"/>
        <w:widowControl/>
        <w:rPr>
          <w:rFonts w:ascii="宋体" w:hAnsi="宋体" w:cs="宋体"/>
          <w:color w:val="auto"/>
          <w:szCs w:val="21"/>
          <w:highlight w:val="none"/>
        </w:rPr>
      </w:pPr>
      <w:r>
        <w:rPr>
          <w:rFonts w:ascii="宋体" w:hAnsi="宋体" w:cs="宋体"/>
          <w:color w:val="auto"/>
          <w:szCs w:val="21"/>
          <w:highlight w:val="none"/>
        </w:rPr>
        <w:t xml:space="preserve">日期：</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6" name="矩形 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 xml:space="preserve">年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7"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 xml:space="preserve">月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8"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日</w:t>
      </w:r>
      <w:r>
        <w:rPr>
          <w:color w:val="auto"/>
          <w:highlight w:val="none"/>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填写说明：</w:t>
      </w:r>
      <w:r>
        <w:rPr>
          <w:color w:val="auto"/>
          <w:highlight w:val="none"/>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rPr>
          <w:color w:val="auto"/>
          <w:highlight w:val="none"/>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2、如有分包，供应商投任何一个包的标的，都需单独填写开标一览表。</w:t>
      </w:r>
      <w:r>
        <w:rPr>
          <w:color w:val="auto"/>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rPr>
          <w:color w:val="auto"/>
          <w:highlight w:val="none"/>
        </w:rPr>
      </w:r>
      <w:r/>
    </w:p>
    <w:p>
      <w:pPr>
        <w:jc w:val="center"/>
        <w:spacing w:line="360" w:lineRule="auto"/>
        <w:rPr>
          <w:rFonts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（2）磋商报价分析表</w:t>
      </w:r>
      <w:r>
        <w:rPr>
          <w:color w:val="auto"/>
          <w:highlight w:val="none"/>
        </w:rPr>
      </w:r>
      <w:r/>
    </w:p>
    <w:p>
      <w:pPr>
        <w:ind w:firstLine="21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项目</w:t>
      </w:r>
      <w:r>
        <w:rPr>
          <w:rFonts w:hint="eastAsia" w:ascii="宋体" w:hAnsi="宋体" w:eastAsia="宋体" w:cs="宋体"/>
          <w:color w:val="auto"/>
          <w:szCs w:val="21"/>
          <w:highlight w:val="none"/>
        </w:rPr>
        <w:t xml:space="preserve">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号</w:t>
      </w:r>
      <w:r>
        <w:rPr>
          <w:color w:val="auto"/>
          <w:highlight w:val="none"/>
        </w:rPr>
      </w:r>
      <w:r/>
    </w:p>
    <w:tbl>
      <w:tblPr>
        <w:tblStyle w:val="973"/>
        <w:tblW w:w="92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4"/>
        <w:gridCol w:w="1525"/>
        <w:gridCol w:w="1272"/>
        <w:gridCol w:w="1028"/>
        <w:gridCol w:w="1483"/>
        <w:gridCol w:w="1142"/>
        <w:gridCol w:w="1781"/>
      </w:tblGrid>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序号</w:t>
            </w:r>
            <w:r>
              <w:rPr>
                <w:color w:val="auto"/>
                <w:highlight w:val="none"/>
              </w:rPr>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lang w:eastAsia="zh-CN"/>
              </w:rPr>
              <w:t xml:space="preserve">内容</w:t>
            </w:r>
            <w:r>
              <w:rPr>
                <w:color w:val="auto"/>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单位</w:t>
            </w:r>
            <w:r>
              <w:rPr>
                <w:color w:val="auto"/>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数量</w:t>
            </w:r>
            <w:r>
              <w:rPr>
                <w:color w:val="auto"/>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单价</w:t>
            </w:r>
            <w:r>
              <w:rPr>
                <w:color w:val="auto"/>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lang w:val="en-US" w:eastAsia="zh-CN"/>
              </w:rPr>
              <w:t xml:space="preserve">合价</w:t>
            </w:r>
            <w:r>
              <w:rPr>
                <w:color w:val="auto"/>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lang w:val="en-US" w:eastAsia="zh-CN"/>
              </w:rPr>
              <w:t xml:space="preserve">备注</w:t>
            </w:r>
            <w:r>
              <w:rPr>
                <w:color w:val="auto"/>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1</w:t>
            </w:r>
            <w:r>
              <w:rPr>
                <w:color w:val="auto"/>
                <w:highlight w:val="none"/>
              </w:rPr>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2</w:t>
            </w:r>
            <w:r>
              <w:rPr>
                <w:color w:val="auto"/>
                <w:highlight w:val="none"/>
              </w:rPr>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3</w:t>
            </w:r>
            <w:r>
              <w:rPr>
                <w:color w:val="auto"/>
                <w:highlight w:val="none"/>
              </w:rPr>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4</w:t>
            </w:r>
            <w:r>
              <w:rPr>
                <w:color w:val="auto"/>
                <w:highlight w:val="none"/>
              </w:rPr>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lang w:val="en-US" w:eastAsia="zh-CN"/>
              </w:rPr>
              <w:t xml:space="preserve">……</w:t>
            </w:r>
            <w:r>
              <w:rPr>
                <w:color w:val="auto"/>
                <w:highlight w:val="none"/>
              </w:rPr>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rPr>
                <w:color w:val="auto"/>
                <w:highlight w:val="none"/>
              </w:rPr>
            </w:r>
            <w:r/>
          </w:p>
        </w:tc>
      </w:tr>
      <w:tr>
        <w:trPr>
          <w:jc w:val="center"/>
          <w:trHeight w:val="541"/>
        </w:trPr>
        <w:tc>
          <w:tcPr>
            <w:gridSpan w:val="7"/>
            <w:tcBorders>
              <w:top w:val="single" w:color="auto" w:sz="6" w:space="0"/>
              <w:left w:val="single" w:color="auto" w:sz="6" w:space="0"/>
              <w:bottom w:val="single" w:color="auto" w:sz="6" w:space="0"/>
              <w:right w:val="single" w:color="auto" w:sz="6" w:space="0"/>
            </w:tcBorders>
            <w:tcW w:w="923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合计金额</w:t>
            </w:r>
            <w:r>
              <w:rPr>
                <w:rFonts w:hint="eastAsia" w:ascii="宋体" w:hAnsi="宋体" w:eastAsia="宋体" w:cs="宋体"/>
                <w:color w:val="auto"/>
                <w:szCs w:val="21"/>
                <w:highlight w:val="none"/>
              </w:rPr>
              <w:t xml:space="preserve">（人民币大写）：                           小写￥：</w:t>
            </w:r>
            <w:r>
              <w:rPr>
                <w:color w:val="auto"/>
                <w:highlight w:val="none"/>
              </w:rPr>
            </w:r>
            <w:r/>
          </w:p>
        </w:tc>
      </w:tr>
    </w:tbl>
    <w:p>
      <w:pPr>
        <w:spacing w:line="36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ind w:firstLine="420"/>
        <w:jc w:val="both"/>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color w:val="auto"/>
          <w:highlight w:val="none"/>
        </w:rPr>
      </w:r>
      <w:r/>
    </w:p>
    <w:p>
      <w:pPr>
        <w:ind w:firstLine="420"/>
        <w:spacing w:line="360" w:lineRule="auto"/>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注：1、“合计金额”应与《磋商报价表》中 “投标总报价”一致。</w:t>
      </w:r>
      <w:r>
        <w:rPr>
          <w:color w:val="auto"/>
          <w:highlight w:val="none"/>
        </w:rPr>
      </w:r>
      <w:r/>
    </w:p>
    <w:p>
      <w:pPr>
        <w:ind w:firstLine="420"/>
        <w:spacing w:line="360" w:lineRule="auto"/>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2、响应供应商可自行添加表格中项目明细的内容。</w:t>
      </w:r>
      <w:r>
        <w:rPr>
          <w:color w:val="auto"/>
          <w:highlight w:val="none"/>
        </w:rPr>
      </w:r>
      <w:r/>
    </w:p>
    <w:p>
      <w:pPr>
        <w:ind w:firstLine="420"/>
        <w:spacing w:line="380" w:lineRule="exact"/>
        <w:rPr>
          <w:rFonts w:ascii="宋体" w:hAnsi="宋体" w:cs="宋体"/>
          <w:b w:val="0"/>
          <w:bCs w:val="0"/>
          <w:color w:val="auto"/>
          <w:szCs w:val="21"/>
          <w:highlight w:val="none"/>
        </w:rPr>
      </w:pPr>
      <w:r>
        <w:rPr>
          <w:rFonts w:ascii="宋体" w:hAnsi="宋体" w:cs="宋体"/>
          <w:b w:val="0"/>
          <w:bCs w:val="0"/>
          <w:color w:val="auto"/>
          <w:szCs w:val="21"/>
          <w:highlight w:val="none"/>
        </w:rPr>
      </w:r>
      <w:r>
        <w:rPr>
          <w:color w:val="auto"/>
          <w:highlight w:val="none"/>
        </w:rPr>
      </w:r>
      <w:r/>
    </w:p>
    <w:p>
      <w:pPr>
        <w:pStyle w:val="974"/>
        <w:rPr>
          <w:rFonts w:hint="eastAsia"/>
          <w:color w:val="auto"/>
          <w:highlight w:val="none"/>
        </w:rPr>
      </w:pPr>
      <w:r>
        <w:rPr>
          <w:rFonts w:hint="eastAsia"/>
          <w:color w:val="auto"/>
          <w:highlight w:val="none"/>
        </w:rPr>
      </w:r>
      <w:r>
        <w:rPr>
          <w:color w:val="auto"/>
          <w:highlight w:val="none"/>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color w:val="auto"/>
          <w:highlight w:val="none"/>
        </w:rPr>
      </w:r>
      <w:r/>
    </w:p>
    <w:p>
      <w:pPr>
        <w:ind w:firstLine="420"/>
        <w:spacing w:line="38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pStyle w:val="1017"/>
        <w:ind w:firstLine="420"/>
        <w:rPr>
          <w:rFonts w:ascii="宋体" w:hAnsi="宋体" w:cs="宋体"/>
          <w:color w:val="auto"/>
          <w:szCs w:val="21"/>
          <w:highlight w:val="none"/>
        </w:rPr>
      </w:pPr>
      <w:r>
        <w:rPr>
          <w:rFonts w:ascii="宋体" w:hAnsi="宋体" w:cs="宋体"/>
          <w:color w:val="auto"/>
          <w:szCs w:val="21"/>
          <w:highlight w:val="none"/>
          <w:lang w:val="en-US"/>
        </w:rPr>
      </w:r>
      <w:r>
        <w:rPr>
          <w:color w:val="auto"/>
          <w:highlight w:val="none"/>
        </w:rPr>
      </w:r>
      <w:r/>
    </w:p>
    <w:p>
      <w:pPr>
        <w:rPr>
          <w:rFonts w:ascii="宋体" w:hAnsi="宋体" w:cs="宋体"/>
          <w:color w:val="auto"/>
          <w:spacing w:val="20"/>
          <w:szCs w:val="21"/>
          <w:highlight w:val="none"/>
        </w:rPr>
      </w:pPr>
      <w:r>
        <w:rPr>
          <w:rFonts w:hint="eastAsia" w:ascii="宋体" w:hAnsi="宋体"/>
          <w:b/>
          <w:color w:val="auto"/>
          <w:sz w:val="24"/>
          <w:highlight w:val="none"/>
        </w:rPr>
        <w:br w:type="page" w:clear="all"/>
      </w:r>
      <w:r>
        <w:rPr>
          <w:color w:val="auto"/>
          <w:highlight w:val="none"/>
        </w:rPr>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附件4：服务要求及商务条款偏离表</w:t>
      </w:r>
      <w:r>
        <w:rPr>
          <w:color w:val="auto"/>
          <w:highlight w:val="none"/>
        </w:rPr>
      </w:r>
      <w:r/>
    </w:p>
    <w:p>
      <w:pPr>
        <w:pStyle w:val="1016"/>
        <w:rPr>
          <w:rFonts w:hAnsi="宋体" w:cs="宋体"/>
          <w:color w:val="auto"/>
          <w:sz w:val="21"/>
          <w:szCs w:val="21"/>
          <w:highlight w:val="none"/>
        </w:rPr>
      </w:pPr>
      <w:r>
        <w:rPr>
          <w:rFonts w:hAnsi="宋体" w:cs="宋体"/>
          <w:color w:val="auto"/>
          <w:sz w:val="21"/>
          <w:szCs w:val="21"/>
          <w:highlight w:val="none"/>
        </w:rPr>
      </w:r>
      <w:r>
        <w:rPr>
          <w:color w:val="auto"/>
          <w:highlight w:val="none"/>
        </w:rPr>
      </w:r>
      <w:r/>
    </w:p>
    <w:p>
      <w:pPr>
        <w:jc w:val="center"/>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服务要求偏离表</w:t>
      </w:r>
      <w:r>
        <w:rPr>
          <w:color w:val="auto"/>
          <w:highlight w:val="none"/>
        </w:rPr>
      </w:r>
      <w:r/>
    </w:p>
    <w:p>
      <w:pPr>
        <w:spacing w:line="276"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执法办案管理中心采购医疗服务项目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rPr>
          <w:color w:val="auto"/>
          <w:highlight w:val="none"/>
        </w:rPr>
      </w:r>
      <w:r/>
    </w:p>
    <w:tbl>
      <w:tblPr>
        <w:tblStyle w:val="973"/>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rPr>
                <w:color w:val="auto"/>
                <w:highlight w:val="none"/>
              </w:rPr>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rPr>
                <w:color w:val="auto"/>
                <w:highlight w:val="none"/>
              </w:rPr>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rPr>
                <w:color w:val="auto"/>
                <w:highlight w:val="none"/>
              </w:rPr>
            </w:r>
            <w:r/>
          </w:p>
        </w:tc>
        <w:tc>
          <w:tcPr>
            <w:tcW w:w="19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rPr>
                <w:color w:val="auto"/>
                <w:highlight w:val="none"/>
              </w:rPr>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rPr>
                <w:color w:val="auto"/>
                <w:highlight w:val="none"/>
              </w:rPr>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rPr>
                <w:color w:val="auto"/>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W w:w="1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highlight w:val="none"/>
              </w:rPr>
            </w:r>
            <w:r/>
          </w:p>
        </w:tc>
      </w:tr>
    </w:tbl>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注：供应商提交的响应文件与</w:t>
      </w:r>
      <w:r>
        <w:rPr>
          <w:rFonts w:hint="eastAsia" w:ascii="宋体" w:hAnsi="宋体"/>
          <w:color w:val="auto"/>
          <w:szCs w:val="21"/>
          <w:highlight w:val="none"/>
        </w:rPr>
        <w:t xml:space="preserve">磋商</w:t>
      </w:r>
      <w:r>
        <w:rPr>
          <w:rFonts w:hint="eastAsia" w:ascii="宋体" w:hAnsi="宋体" w:cs="宋体"/>
          <w:color w:val="auto"/>
          <w:highlight w:val="none"/>
        </w:rPr>
        <w:t xml:space="preserve">文件要求有不同时，应在本表中把</w:t>
      </w:r>
      <w:r>
        <w:rPr>
          <w:rFonts w:hint="eastAsia" w:ascii="宋体" w:hAnsi="宋体"/>
          <w:color w:val="auto"/>
          <w:szCs w:val="21"/>
          <w:highlight w:val="none"/>
        </w:rPr>
        <w:t xml:space="preserve">磋商</w:t>
      </w:r>
      <w:r>
        <w:rPr>
          <w:rFonts w:hint="eastAsia" w:ascii="宋体" w:hAnsi="宋体" w:cs="宋体"/>
          <w:color w:val="auto"/>
          <w:highlight w:val="none"/>
        </w:rPr>
        <w:t xml:space="preserve">文件要求与实际响应内容逐项对应列出，并在“偏离说明”项下填写以下内容：优于的，填写“正偏离”；符合的，填写“无偏离”；低于的，填写“负偏离”；若事项较多，供应商可根据响应内容的实际情况另纸说明。</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jc w:val="center"/>
        <w:spacing w:line="360" w:lineRule="auto"/>
        <w:rPr>
          <w:rFonts w:ascii="宋体" w:hAnsi="宋体" w:cs="宋体"/>
          <w:b/>
          <w:color w:val="auto"/>
          <w:spacing w:val="20"/>
          <w:sz w:val="24"/>
          <w:highlight w:val="none"/>
        </w:rPr>
      </w:pPr>
      <w:r>
        <w:rPr>
          <w:rFonts w:ascii="宋体" w:hAnsi="宋体" w:cs="宋体"/>
          <w:b/>
          <w:color w:val="auto"/>
          <w:spacing w:val="20"/>
          <w:sz w:val="24"/>
          <w:highlight w:val="none"/>
        </w:rPr>
      </w:r>
      <w:r>
        <w:rPr>
          <w:color w:val="auto"/>
          <w:highlight w:val="none"/>
        </w:rPr>
      </w:r>
      <w:r/>
    </w:p>
    <w:p>
      <w:pPr>
        <w:jc w:val="center"/>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商务条款偏离表</w:t>
      </w:r>
      <w:r>
        <w:rPr>
          <w:color w:val="auto"/>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lang w:eastAsia="zh-CN"/>
        </w:rPr>
        <w:t xml:space="preserve">执法办案管理中心采购医疗服务项目</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rPr>
          <w:color w:val="auto"/>
          <w:highlight w:val="none"/>
        </w:rPr>
      </w:r>
      <w:r/>
    </w:p>
    <w:tbl>
      <w:tblPr>
        <w:tblStyle w:val="973"/>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内容</w:t>
            </w:r>
            <w:r>
              <w:rPr>
                <w:color w:val="auto"/>
                <w:highlight w:val="none"/>
              </w:rPr>
            </w:r>
            <w:r/>
          </w:p>
        </w:tc>
        <w:tc>
          <w:tcPr>
            <w:tcW w:w="215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highlight w:val="none"/>
              </w:rPr>
              <w:t xml:space="preserve">采购文件的商务条款</w:t>
            </w:r>
            <w:r>
              <w:rPr>
                <w:color w:val="auto"/>
                <w:highlight w:val="none"/>
              </w:rPr>
            </w:r>
            <w:r/>
          </w:p>
        </w:tc>
        <w:tc>
          <w:tcP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rPr>
              <w:t xml:space="preserve">响应文件的商务条款</w:t>
            </w:r>
            <w:r>
              <w:rPr>
                <w:color w:val="auto"/>
                <w:highlight w:val="none"/>
              </w:rPr>
            </w:r>
            <w:r/>
          </w:p>
        </w:tc>
        <w:tc>
          <w:tcPr>
            <w:tcW w:w="167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rPr>
                <w:color w:val="auto"/>
                <w:highlight w:val="none"/>
              </w:rPr>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rPr>
                <w:color w:val="auto"/>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rPr>
                <w:color w:val="auto"/>
                <w:highlight w:val="none"/>
              </w:rPr>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付款步骤</w:t>
            </w:r>
            <w:r>
              <w:rPr>
                <w:color w:val="auto"/>
                <w:highlight w:val="none"/>
              </w:rPr>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rPr>
                <w:color w:val="auto"/>
                <w:highlight w:val="none"/>
              </w:rPr>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服务承诺</w:t>
            </w:r>
            <w:r>
              <w:rPr>
                <w:color w:val="auto"/>
                <w:highlight w:val="none"/>
              </w:rPr>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w:t>
            </w:r>
            <w:r>
              <w:rPr>
                <w:color w:val="auto"/>
                <w:highlight w:val="none"/>
              </w:rPr>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其他商务要求</w:t>
            </w:r>
            <w:r>
              <w:rPr>
                <w:color w:val="auto"/>
                <w:highlight w:val="none"/>
              </w:rPr>
            </w:r>
            <w:r/>
          </w:p>
        </w:tc>
        <w:tc>
          <w:tcPr>
            <w:tcW w:w="215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r/>
          </w:p>
        </w:tc>
        <w:tc>
          <w:tcPr>
            <w:tcW w:w="241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r/>
          </w:p>
        </w:tc>
        <w:tc>
          <w:tcPr>
            <w:tcW w:w="167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r/>
          </w:p>
        </w:tc>
      </w:tr>
      <w:tr>
        <w:trPr>
          <w:jc w:val="center"/>
          <w:trHeight w:val="413" w:hRule="exact"/>
        </w:trPr>
        <w:tc>
          <w:tcPr>
            <w:tcW w:w="9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highlight w:val="none"/>
              </w:rPr>
            </w:r>
            <w:r/>
          </w:p>
        </w:tc>
        <w:tc>
          <w:tcPr>
            <w:tcW w:w="215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highlight w:val="none"/>
              </w:rPr>
            </w:r>
            <w:r/>
          </w:p>
        </w:tc>
        <w:tc>
          <w:tcP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highlight w:val="none"/>
              </w:rPr>
            </w:r>
            <w:r/>
          </w:p>
        </w:tc>
        <w:tc>
          <w:tcPr>
            <w:tcW w:w="16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highlight w:val="none"/>
              </w:rPr>
            </w:r>
            <w:r/>
          </w:p>
        </w:tc>
      </w:tr>
    </w:tbl>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注：供应商提交的响应文件与</w:t>
      </w:r>
      <w:r>
        <w:rPr>
          <w:rFonts w:hint="eastAsia" w:ascii="宋体" w:hAnsi="宋体"/>
          <w:color w:val="auto"/>
          <w:szCs w:val="21"/>
          <w:highlight w:val="none"/>
        </w:rPr>
        <w:t xml:space="preserve">磋商</w:t>
      </w:r>
      <w:r>
        <w:rPr>
          <w:rFonts w:hint="eastAsia" w:ascii="宋体" w:hAnsi="宋体" w:cs="宋体"/>
          <w:color w:val="auto"/>
          <w:highlight w:val="none"/>
        </w:rPr>
        <w:t xml:space="preserve">文件要求有不同时，应在本表中把</w:t>
      </w:r>
      <w:r>
        <w:rPr>
          <w:rFonts w:hint="eastAsia" w:ascii="宋体" w:hAnsi="宋体"/>
          <w:color w:val="auto"/>
          <w:szCs w:val="21"/>
          <w:highlight w:val="none"/>
        </w:rPr>
        <w:t xml:space="preserve">磋商</w:t>
      </w:r>
      <w:r>
        <w:rPr>
          <w:rFonts w:hint="eastAsia" w:ascii="宋体" w:hAnsi="宋体" w:cs="宋体"/>
          <w:color w:val="auto"/>
          <w:highlight w:val="none"/>
        </w:rPr>
        <w:t xml:space="preserve">文件要求与实际响应内容逐项对应列出，并在“偏离说明”项下填写以下内容：优于的，填写“正偏离”；符合的，填写“无偏离”；低于的，填写“负偏离”；若事项较多，供应商可根据响应内容的实际情况另纸说明。</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Cs w:val="21"/>
          <w:highlight w:val="none"/>
        </w:rPr>
        <w:t xml:space="preserve">附件5：</w:t>
      </w:r>
      <w:r>
        <w:rPr>
          <w:rFonts w:hint="eastAsia" w:ascii="宋体" w:hAnsi="宋体" w:cs="宋体"/>
          <w:b/>
          <w:color w:val="auto"/>
          <w:szCs w:val="21"/>
          <w:highlight w:val="none"/>
        </w:rPr>
        <w:t xml:space="preserve">针对本项目的人员配置表</w:t>
      </w:r>
      <w:r>
        <w:rPr>
          <w:color w:val="auto"/>
          <w:highlight w:val="none"/>
        </w:rPr>
      </w:r>
      <w:r/>
    </w:p>
    <w:p>
      <w:pPr>
        <w:jc w:val="center"/>
        <w:spacing w:line="360" w:lineRule="auto"/>
        <w:rPr>
          <w:rFonts w:ascii="宋体" w:hAnsi="宋体" w:cs="宋体"/>
          <w:b/>
          <w:bCs/>
          <w:color w:val="auto"/>
          <w:szCs w:val="21"/>
          <w:highlight w:val="none"/>
        </w:rPr>
        <w:outlineLvl w:val="1"/>
      </w:pPr>
      <w:r>
        <w:rPr>
          <w:rFonts w:ascii="宋体" w:hAnsi="宋体" w:cs="宋体"/>
          <w:b/>
          <w:bCs/>
          <w:color w:val="auto"/>
          <w:szCs w:val="21"/>
          <w:highlight w:val="none"/>
        </w:rPr>
      </w:r>
      <w:r>
        <w:rPr>
          <w:color w:val="auto"/>
          <w:highlight w:val="none"/>
        </w:rPr>
      </w:r>
      <w:r/>
    </w:p>
    <w:p>
      <w:pPr>
        <w:jc w:val="cente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针对本项目的人员配置表</w:t>
      </w:r>
      <w:r>
        <w:rPr>
          <w:color w:val="auto"/>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lang w:eastAsia="zh-CN"/>
        </w:rPr>
        <w:t xml:space="preserve">执法办案管理中心采购医疗服务项目</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rPr>
          <w:color w:val="auto"/>
          <w:highlight w:val="none"/>
        </w:rPr>
      </w:r>
      <w:r/>
    </w:p>
    <w:tbl>
      <w:tblPr>
        <w:tblStyle w:val="973"/>
        <w:tblW w:w="9349"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1999"/>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序号</w:t>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在本项目中负责的岗位（按照采购要求填写）</w:t>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姓名</w:t>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性别</w:t>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年龄</w:t>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学历</w:t>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专业/资格</w:t>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从事本工作时间</w:t>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典型业务与技术专长</w:t>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999"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pStyle w:val="979"/>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color w:val="auto"/>
          <w:highlight w:val="none"/>
        </w:rPr>
      </w:r>
      <w:r/>
    </w:p>
    <w:p>
      <w:pPr>
        <w:jc w:val="left"/>
        <w:pageBreakBefore/>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rPr>
        <w:t xml:space="preserve">6</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类似项目业绩一览表</w:t>
      </w:r>
      <w:r>
        <w:rPr>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rPr>
          <w:color w:val="auto"/>
          <w:highlight w:val="none"/>
        </w:rPr>
      </w:r>
      <w:r/>
    </w:p>
    <w:p>
      <w:pPr>
        <w:spacing w:line="360" w:lineRule="auto"/>
        <w:rPr>
          <w:rFonts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rPr>
          <w:color w:val="auto"/>
          <w:highlight w:val="none"/>
        </w:rPr>
      </w:r>
      <w:r/>
    </w:p>
    <w:tbl>
      <w:tblPr>
        <w:tblStyle w:val="97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278"/>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color w:val="auto"/>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rPr>
                <w:color w:val="auto"/>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rPr>
                <w:color w:val="auto"/>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rPr>
                <w:color w:val="auto"/>
                <w:highlight w:val="none"/>
              </w:rPr>
            </w:r>
            <w:r/>
          </w:p>
        </w:tc>
        <w:tc>
          <w:tcPr>
            <w:tcW w:w="12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2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pStyle w:val="975"/>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rPr>
          <w:color w:val="auto"/>
          <w:highlight w:val="none"/>
        </w:rPr>
      </w:r>
      <w:r/>
    </w:p>
    <w:p>
      <w:pPr>
        <w:pStyle w:val="975"/>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rPr>
          <w:color w:val="auto"/>
          <w:highlight w:val="none"/>
        </w:rPr>
      </w:r>
      <w:r/>
    </w:p>
    <w:p>
      <w:pPr>
        <w:pStyle w:val="975"/>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rPr>
          <w:color w:val="auto"/>
          <w:highlight w:val="none"/>
        </w:rPr>
      </w:r>
      <w:r/>
    </w:p>
    <w:p>
      <w:pPr>
        <w:pStyle w:val="975"/>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rPr>
          <w:color w:val="auto"/>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rPr>
          <w:color w:val="auto"/>
          <w:highlight w:val="none"/>
        </w:rPr>
      </w:r>
      <w:r/>
    </w:p>
    <w:p>
      <w:pPr>
        <w:pStyle w:val="975"/>
        <w:ind w:firstLine="0"/>
        <w:jc w:val="both"/>
        <w:spacing w:line="360" w:lineRule="auto"/>
        <w:rPr>
          <w:rFonts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：服务方案</w:t>
      </w:r>
      <w:r>
        <w:rPr>
          <w:color w:val="auto"/>
          <w:highlight w:val="none"/>
        </w:rPr>
      </w:r>
      <w:r/>
    </w:p>
    <w:p>
      <w:pPr>
        <w:pStyle w:val="975"/>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rPr>
          <w:color w:val="auto"/>
          <w:highlight w:val="none"/>
        </w:rPr>
      </w:r>
      <w:r/>
    </w:p>
    <w:tbl>
      <w:tblPr>
        <w:tblStyle w:val="973"/>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9"/>
      </w:tblGrid>
      <w:tr>
        <w:trPr>
          <w:jc w:val="center"/>
          <w:trHeight w:val="1152"/>
        </w:trPr>
        <w:tc>
          <w:tcPr>
            <w:tcW w:w="9309"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rPr>
                <w:color w:val="auto"/>
                <w:highlight w:val="none"/>
              </w:rPr>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1、供应商应根据本次采购项目要求，对所投服务进行详细的说明与描述，包括针对本次采购项目特点及具体情况编写成交后拟采取的实施方案等。</w:t>
            </w:r>
            <w:r>
              <w:rPr>
                <w:color w:val="auto"/>
                <w:highlight w:val="none"/>
              </w:rPr>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rPr>
                <w:color w:val="auto"/>
                <w:highlight w:val="none"/>
              </w:rPr>
            </w:r>
            <w:r/>
          </w:p>
        </w:tc>
      </w:tr>
      <w:tr>
        <w:trPr>
          <w:jc w:val="center"/>
          <w:trHeight w:val="8594"/>
        </w:trPr>
        <w:tc>
          <w:tcPr>
            <w:tcW w:w="9309"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rPr>
                <w:color w:val="auto"/>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rPr>
          <w:color w:val="auto"/>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color w:val="auto"/>
          <w:highlight w:val="none"/>
        </w:rPr>
      </w:r>
      <w:r/>
    </w:p>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安全责任承诺书</w:t>
      </w:r>
      <w:r>
        <w:rPr>
          <w:color w:val="auto"/>
          <w:highlight w:val="none"/>
        </w:rPr>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安全责任承诺书</w:t>
      </w:r>
      <w:r>
        <w:rPr>
          <w:color w:val="auto"/>
          <w:highlight w:val="none"/>
        </w:rPr>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rPr>
          <w:color w:val="auto"/>
          <w:highlight w:val="none"/>
        </w:rPr>
      </w:r>
      <w:r/>
    </w:p>
    <w:p>
      <w:pPr>
        <w:ind w:firstLine="840"/>
        <w:spacing w:line="360" w:lineRule="auto"/>
        <w:rPr>
          <w:rFonts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rPr>
          <w:color w:val="auto"/>
          <w:highlight w:val="none"/>
        </w:rPr>
      </w:r>
      <w:r/>
    </w:p>
    <w:p>
      <w:pPr>
        <w:pStyle w:val="1056"/>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rPr>
          <w:color w:val="auto"/>
          <w:highlight w:val="none"/>
        </w:rPr>
      </w:r>
      <w:r/>
    </w:p>
    <w:p>
      <w:pPr>
        <w:pStyle w:val="1056"/>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pStyle w:val="975"/>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：资格证明文件</w:t>
      </w:r>
      <w:r>
        <w:rPr>
          <w:color w:val="auto"/>
          <w:highlight w:val="none"/>
        </w:rPr>
      </w:r>
      <w:r/>
    </w:p>
    <w:p>
      <w:pPr>
        <w:pStyle w:val="975"/>
        <w:ind w:firstLine="0"/>
        <w:spacing w:line="360" w:lineRule="auto"/>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1.关于资格文件的声明函</w:t>
      </w:r>
      <w:r>
        <w:rPr>
          <w:color w:val="auto"/>
          <w:highlight w:val="none"/>
        </w:rPr>
      </w:r>
      <w:r/>
    </w:p>
    <w:p>
      <w:pPr>
        <w:pStyle w:val="975"/>
        <w:ind w:firstLine="0"/>
        <w:spacing w:line="360" w:lineRule="auto"/>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ind w:firstLine="0"/>
        <w:spacing w:line="360" w:lineRule="auto"/>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rPr>
          <w:color w:val="auto"/>
          <w:highlight w:val="none"/>
        </w:rPr>
      </w:r>
      <w:r/>
    </w:p>
    <w:p>
      <w:pPr>
        <w:pStyle w:val="975"/>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rPr>
          <w:color w:val="auto"/>
          <w:highlight w:val="none"/>
        </w:rPr>
      </w:r>
      <w:r/>
    </w:p>
    <w:p>
      <w:pPr>
        <w:pStyle w:val="975"/>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pStyle w:val="97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color w:val="auto"/>
          <w:highlight w:val="none"/>
        </w:rPr>
      </w:r>
      <w:r/>
    </w:p>
    <w:p>
      <w:pPr>
        <w:pStyle w:val="975"/>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磋商文件磋商供应商的资格要求。若与真实情况不符，本公司愿意承担由此而产生的一切后果。</w:t>
      </w:r>
      <w:r>
        <w:rPr>
          <w:color w:val="auto"/>
          <w:highlight w:val="none"/>
        </w:rPr>
      </w:r>
      <w:r/>
    </w:p>
    <w:p>
      <w:pPr>
        <w:pStyle w:val="975"/>
        <w:spacing w:line="360" w:lineRule="auto"/>
        <w:tabs>
          <w:tab w:val="left" w:pos="32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ind w:firstLine="4620"/>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rPr>
          <w:color w:val="auto"/>
          <w:highlight w:val="none"/>
        </w:rPr>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rPr>
          <w:color w:val="auto"/>
          <w:highlight w:val="none"/>
        </w:rPr>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highlight w:val="none"/>
        </w:rPr>
      </w:r>
      <w:r/>
    </w:p>
    <w:p>
      <w:pPr>
        <w:pStyle w:val="975"/>
        <w:ind w:left="294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pStyle w:val="975"/>
        <w:ind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2.磋商供应商情况表</w:t>
      </w:r>
      <w:r>
        <w:rPr>
          <w:color w:val="auto"/>
          <w:highlight w:val="none"/>
        </w:rPr>
      </w:r>
      <w:r/>
    </w:p>
    <w:p>
      <w:pPr>
        <w:pStyle w:val="975"/>
        <w:ind w:firstLine="0"/>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rPr>
          <w:color w:val="auto"/>
          <w:highlight w:val="none"/>
        </w:rPr>
      </w:r>
      <w:r/>
    </w:p>
    <w:p>
      <w:pPr>
        <w:pStyle w:val="975"/>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磋商供应商情况表</w:t>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rPr>
          <w:color w:val="auto"/>
          <w:highlight w:val="none"/>
        </w:rPr>
      </w:r>
      <w:r/>
    </w:p>
    <w:tbl>
      <w:tblPr>
        <w:tblStyle w:val="973"/>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rPr>
                <w:color w:val="auto"/>
                <w:highlight w:val="none"/>
              </w:rPr>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rPr>
                <w:color w:val="auto"/>
                <w:highlight w:val="none"/>
              </w:rPr>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企业地址</w:t>
            </w:r>
            <w:r>
              <w:rPr>
                <w:color w:val="auto"/>
                <w:highlight w:val="none"/>
              </w:rPr>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注册资本</w:t>
            </w:r>
            <w:r>
              <w:rPr>
                <w:color w:val="auto"/>
                <w:highlight w:val="none"/>
              </w:rPr>
            </w:r>
            <w:r/>
          </w:p>
        </w:tc>
        <w:tc>
          <w:tcPr>
            <w:tcW w:w="2340" w:type="dxa"/>
            <w:vAlign w:val="center"/>
            <w:textDirection w:val="lrTb"/>
            <w:noWrap w:val="false"/>
          </w:tcPr>
          <w:p>
            <w:pPr>
              <w:ind w:firstLine="12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万元</w:t>
            </w:r>
            <w:r>
              <w:rPr>
                <w:color w:val="auto"/>
                <w:highlight w:val="none"/>
              </w:rPr>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rPr>
                <w:color w:val="auto"/>
                <w:highlight w:val="none"/>
              </w:rPr>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职工人数</w:t>
            </w:r>
            <w:r>
              <w:rPr>
                <w:color w:val="auto"/>
                <w:highlight w:val="none"/>
              </w:rPr>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其中：中高级</w:t>
            </w:r>
            <w:r>
              <w:rPr>
                <w:color w:val="auto"/>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以上职称的人数</w:t>
            </w:r>
            <w:r>
              <w:rPr>
                <w:color w:val="auto"/>
                <w:highlight w:val="none"/>
              </w:rPr>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rPr>
                <w:color w:val="auto"/>
                <w:highlight w:val="none"/>
              </w:rPr>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rPr>
                <w:color w:val="auto"/>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净资产</w:t>
            </w:r>
            <w:r>
              <w:rPr>
                <w:color w:val="auto"/>
                <w:highlight w:val="none"/>
              </w:rPr>
            </w:r>
            <w:r/>
          </w:p>
        </w:tc>
        <w:tc>
          <w:tcPr>
            <w:tcW w:w="2340" w:type="dxa"/>
            <w:vAlign w:val="center"/>
            <w:textDirection w:val="lrTb"/>
            <w:noWrap w:val="false"/>
          </w:tcPr>
          <w:p>
            <w:pPr>
              <w:ind w:right="240"/>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股东权益</w:t>
            </w:r>
            <w:r>
              <w:rPr>
                <w:color w:val="auto"/>
                <w:highlight w:val="none"/>
              </w:rPr>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rPr>
                <w:color w:val="auto"/>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销售收入</w:t>
            </w:r>
            <w:r>
              <w:rPr>
                <w:color w:val="auto"/>
                <w:highlight w:val="none"/>
              </w:rPr>
            </w:r>
            <w:r/>
          </w:p>
        </w:tc>
        <w:tc>
          <w:tcPr>
            <w:tcW w:w="2340" w:type="dxa"/>
            <w:vAlign w:val="center"/>
            <w:textDirection w:val="lrTb"/>
            <w:noWrap w:val="false"/>
          </w:tcPr>
          <w:p>
            <w:pPr>
              <w:ind w:firstLine="21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rPr>
                <w:color w:val="auto"/>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rPr>
                <w:color w:val="auto"/>
                <w:highlight w:val="none"/>
              </w:rPr>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rPr>
                <w:color w:val="auto"/>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rPr>
                <w:color w:val="auto"/>
                <w:highlight w:val="none"/>
              </w:rPr>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平方米</w:t>
            </w:r>
            <w:r>
              <w:rPr>
                <w:color w:val="auto"/>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rPr>
                <w:color w:val="auto"/>
                <w:highlight w:val="none"/>
              </w:rPr>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rPr>
                <w:color w:val="auto"/>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rPr>
                <w:color w:val="auto"/>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rPr>
                <w:color w:val="auto"/>
                <w:highlight w:val="none"/>
              </w:rPr>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rPr>
                <w:color w:val="auto"/>
                <w:highlight w:val="none"/>
              </w:rPr>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rPr>
                <w:color w:val="auto"/>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rPr>
                <w:color w:val="auto"/>
                <w:highlight w:val="none"/>
              </w:rPr>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rPr>
                <w:color w:val="auto"/>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rPr>
                <w:color w:val="auto"/>
                <w:highlight w:val="none"/>
              </w:rPr>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jc w:val="center"/>
          <w:trHeight w:val="485"/>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rPr>
                <w:color w:val="auto"/>
                <w:highlight w:val="none"/>
              </w:rPr>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bl>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pStyle w:val="1016"/>
        <w:rPr>
          <w:rFonts w:hAnsi="宋体" w:cs="宋体"/>
          <w:color w:val="auto"/>
          <w:sz w:val="24"/>
          <w:szCs w:val="24"/>
          <w:highlight w:val="none"/>
        </w:rPr>
      </w:pPr>
      <w:r>
        <w:rPr>
          <w:rFonts w:hAnsi="宋体" w:cs="宋体"/>
          <w:color w:val="auto"/>
          <w:sz w:val="24"/>
          <w:szCs w:val="24"/>
          <w:highlight w:val="none"/>
        </w:rPr>
      </w:r>
      <w:r>
        <w:rPr>
          <w:color w:val="auto"/>
          <w:highlight w:val="none"/>
        </w:rPr>
      </w:r>
      <w:r/>
    </w:p>
    <w:p>
      <w:pPr>
        <w:pStyle w:val="1016"/>
        <w:rPr>
          <w:rFonts w:hAnsi="宋体" w:cs="宋体"/>
          <w:color w:val="auto"/>
          <w:sz w:val="24"/>
          <w:szCs w:val="24"/>
          <w:highlight w:val="none"/>
        </w:rPr>
      </w:pPr>
      <w:r>
        <w:rPr>
          <w:rFonts w:hAnsi="宋体" w:cs="宋体"/>
          <w:color w:val="auto"/>
          <w:sz w:val="24"/>
          <w:szCs w:val="24"/>
          <w:highlight w:val="none"/>
        </w:rPr>
      </w:r>
      <w:r>
        <w:rPr>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lang w:val="zh-CN"/>
        </w:rPr>
        <w:br w:type="page" w:clear="all"/>
      </w:r>
      <w:r>
        <w:rPr>
          <w:color w:val="auto"/>
          <w:highlight w:val="none"/>
        </w:rPr>
      </w:r>
      <w:r/>
    </w:p>
    <w:p>
      <w:pPr>
        <w:jc w:val="left"/>
        <w:spacing w:before="100" w:beforeAutospacing="1" w:after="100" w:afterAutospacing="1"/>
        <w:widowControl/>
        <w:rPr>
          <w:rFonts w:hint="eastAsia" w:ascii="宋体" w:hAnsi="宋体" w:eastAsia="宋体" w:cs="宋体"/>
          <w:color w:val="auto"/>
          <w:szCs w:val="21"/>
          <w:highlight w:val="none"/>
        </w:rPr>
      </w:pPr>
      <w:r>
        <w:rPr>
          <w:rFonts w:hint="eastAsia" w:ascii="宋体" w:hAnsi="宋体" w:cs="宋体"/>
          <w:b/>
          <w:color w:val="auto"/>
          <w:sz w:val="21"/>
          <w:szCs w:val="21"/>
          <w:highlight w:val="none"/>
          <w:lang w:val="zh-CN"/>
        </w:rPr>
        <w:t xml:space="preserve">附件</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0</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lang w:val="zh-CN"/>
        </w:rPr>
        <w:t xml:space="preserve">投标（响应）保证承诺书（参考格式）</w:t>
      </w:r>
      <w:r>
        <w:rPr>
          <w:rFonts w:hint="eastAsia" w:ascii="宋体" w:hAnsi="宋体" w:cs="宋体"/>
          <w:b/>
          <w:bCs/>
          <w:color w:val="auto"/>
          <w:sz w:val="24"/>
          <w:highlight w:val="none"/>
          <w:lang w:val="en-US" w:eastAsia="zh-CN"/>
        </w:rPr>
        <w:tab/>
      </w:r>
      <w:r>
        <w:rPr>
          <w:color w:val="auto"/>
          <w:highlight w:val="none"/>
        </w:rPr>
      </w:r>
      <w:r/>
    </w:p>
    <w:p>
      <w:pPr>
        <w:ind w:firstLine="420"/>
        <w:jc w:val="center"/>
        <w:spacing w:line="360" w:lineRule="auto"/>
        <w:tabs>
          <w:tab w:val="center" w:pos="4201" w:leader="none"/>
          <w:tab w:val="right" w:pos="9298" w:leader="dot"/>
        </w:tabs>
        <w:rPr>
          <w:rFonts w:hint="eastAsia" w:ascii="宋体" w:hAnsi="宋体" w:cs="宋体"/>
          <w:color w:val="auto"/>
          <w:szCs w:val="21"/>
          <w:highlight w:val="none"/>
        </w:rPr>
      </w:pPr>
      <w:r>
        <w:rPr>
          <w:rFonts w:hint="eastAsia" w:ascii="宋体" w:hAnsi="宋体" w:cs="宋体"/>
          <w:color w:val="auto"/>
          <w:szCs w:val="21"/>
          <w:highlight w:val="none"/>
        </w:rPr>
        <w:t xml:space="preserve">投标（响应）保证承诺书</w:t>
      </w:r>
      <w:r>
        <w:rPr>
          <w:color w:val="auto"/>
          <w:highlight w:val="none"/>
        </w:rPr>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rPr>
          <w:color w:val="auto"/>
          <w:highlight w:val="none"/>
        </w:rPr>
      </w:r>
      <w:r/>
    </w:p>
    <w:p>
      <w:pPr>
        <w:ind w:firstLine="60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rPr>
          <w:color w:val="auto"/>
          <w:highlight w:val="none"/>
        </w:rPr>
      </w:r>
      <w:r/>
    </w:p>
    <w:p>
      <w:pPr>
        <w:pStyle w:val="1072"/>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rPr>
          <w:color w:val="auto"/>
          <w:highlight w:val="none"/>
        </w:rPr>
      </w:r>
      <w:r/>
    </w:p>
    <w:p>
      <w:pPr>
        <w:pStyle w:val="1072"/>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rPr>
          <w:color w:val="auto"/>
          <w:highlight w:val="none"/>
        </w:rPr>
      </w:r>
      <w:r/>
    </w:p>
    <w:p>
      <w:pPr>
        <w:pStyle w:val="1072"/>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rPr>
          <w:color w:val="auto"/>
          <w:highlight w:val="none"/>
        </w:rPr>
      </w:r>
      <w:r/>
    </w:p>
    <w:p>
      <w:pPr>
        <w:pStyle w:val="1072"/>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rPr>
          <w:color w:val="auto"/>
          <w:highlight w:val="none"/>
        </w:rPr>
      </w:r>
      <w:r/>
    </w:p>
    <w:p>
      <w:pPr>
        <w:pStyle w:val="1072"/>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rPr>
          <w:color w:val="auto"/>
          <w:highlight w:val="none"/>
        </w:rPr>
      </w:r>
      <w:r/>
    </w:p>
    <w:p>
      <w:pPr>
        <w:pStyle w:val="1072"/>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rPr>
          <w:color w:val="auto"/>
          <w:highlight w:val="none"/>
        </w:rPr>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color w:val="auto"/>
          <w:highlight w:val="none"/>
        </w:rPr>
      </w:r>
      <w:r/>
    </w:p>
    <w:p>
      <w:pPr>
        <w:pStyle w:val="969"/>
        <w:spacing w:before="120" w:after="120" w:line="360" w:lineRule="auto"/>
        <w:rPr>
          <w:rFonts w:ascii="宋体" w:hAnsi="宋体" w:cs="宋体"/>
          <w:bCs w:val="0"/>
          <w:color w:val="auto"/>
          <w:sz w:val="24"/>
          <w:szCs w:val="24"/>
          <w:highlight w:val="none"/>
        </w:rPr>
      </w:pPr>
      <w:r>
        <w:rPr>
          <w:rFonts w:ascii="宋体" w:hAnsi="宋体" w:cs="宋体"/>
          <w:bCs w:val="0"/>
          <w:color w:val="auto"/>
          <w:sz w:val="24"/>
          <w:szCs w:val="24"/>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rPr>
          <w:color w:val="auto"/>
          <w:highlight w:val="none"/>
        </w:rPr>
      </w:r>
      <w:r/>
    </w:p>
    <w:p>
      <w:pPr>
        <w:pStyle w:val="969"/>
        <w:spacing w:before="120" w:after="12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附件1</w:t>
      </w:r>
      <w:r>
        <w:rPr>
          <w:rFonts w:hint="eastAsia" w:ascii="宋体" w:hAnsi="宋体" w:cs="宋体"/>
          <w:bCs w:val="0"/>
          <w:color w:val="auto"/>
          <w:sz w:val="21"/>
          <w:szCs w:val="21"/>
          <w:highlight w:val="none"/>
          <w:lang w:val="en-US" w:eastAsia="zh-CN"/>
        </w:rPr>
        <w:t xml:space="preserve">1</w:t>
      </w:r>
      <w:r>
        <w:rPr>
          <w:rFonts w:hint="eastAsia" w:ascii="宋体" w:hAnsi="宋体" w:cs="宋体"/>
          <w:bCs w:val="0"/>
          <w:color w:val="auto"/>
          <w:sz w:val="21"/>
          <w:szCs w:val="21"/>
          <w:highlight w:val="none"/>
        </w:rPr>
        <w:t xml:space="preserve">：中标（成交）</w:t>
      </w:r>
      <w:r>
        <w:rPr>
          <w:rFonts w:hint="eastAsia" w:ascii="宋体" w:hAnsi="宋体" w:cs="宋体"/>
          <w:bCs w:val="0"/>
          <w:color w:val="auto"/>
          <w:sz w:val="21"/>
          <w:szCs w:val="21"/>
          <w:highlight w:val="none"/>
          <w:lang w:val="zh-CN"/>
        </w:rPr>
        <w:t xml:space="preserve">通知书回执 （</w:t>
      </w:r>
      <w:r>
        <w:rPr>
          <w:rFonts w:hint="eastAsia" w:ascii="宋体" w:hAnsi="宋体" w:cs="宋体"/>
          <w:bCs w:val="0"/>
          <w:color w:val="auto"/>
          <w:sz w:val="21"/>
          <w:szCs w:val="21"/>
          <w:highlight w:val="none"/>
        </w:rPr>
        <w:t xml:space="preserve">成交</w:t>
      </w:r>
      <w:r>
        <w:rPr>
          <w:rFonts w:hint="eastAsia" w:ascii="宋体" w:hAnsi="宋体" w:cs="宋体"/>
          <w:bCs w:val="0"/>
          <w:color w:val="auto"/>
          <w:sz w:val="21"/>
          <w:szCs w:val="21"/>
          <w:highlight w:val="none"/>
          <w:lang w:val="zh-CN"/>
        </w:rPr>
        <w:t xml:space="preserve">后提供）</w:t>
      </w:r>
      <w:r>
        <w:rPr>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中标（成交）通知书回执</w:t>
      </w:r>
      <w:r>
        <w:rPr>
          <w:color w:val="auto"/>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spacing w:line="480" w:lineRule="auto"/>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rPr>
          <w:color w:val="auto"/>
          <w:highlight w:val="none"/>
        </w:rPr>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的中标（成交）通知书，特作以下确认：</w:t>
      </w:r>
      <w:r>
        <w:rPr>
          <w:color w:val="auto"/>
          <w:highlight w:val="none"/>
        </w:rPr>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w:t>
      </w:r>
      <w:r>
        <w:rPr>
          <w:rFonts w:hint="eastAsia" w:ascii="宋体" w:hAnsi="宋体"/>
          <w:color w:val="auto"/>
          <w:szCs w:val="21"/>
          <w:highlight w:val="none"/>
        </w:rPr>
        <w:t xml:space="preserve">磋商</w:t>
      </w:r>
      <w:r>
        <w:rPr>
          <w:rFonts w:hint="eastAsia" w:ascii="宋体" w:hAnsi="宋体" w:cs="宋体"/>
          <w:color w:val="auto"/>
          <w:szCs w:val="21"/>
          <w:highlight w:val="none"/>
        </w:rPr>
        <w:t xml:space="preserve">文件和中标（成交）通知书的规定，在规定期限和地点与采购方签订合同。</w:t>
      </w:r>
      <w:r>
        <w:rPr>
          <w:color w:val="auto"/>
          <w:highlight w:val="none"/>
        </w:rPr>
      </w:r>
      <w:r/>
    </w:p>
    <w:p>
      <w:pPr>
        <w:ind w:firstLine="51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2、如果我们不遵守磋商文件和中标（成交）通知书上的规定，贵公司可以按磋商文件的规定有进一步向我公司要求赔偿的权利。</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成交单位：（盖章）</w:t>
      </w:r>
      <w:r>
        <w:rPr>
          <w:color w:val="auto"/>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rPr>
          <w:color w:val="auto"/>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rPr>
          <w:color w:val="auto"/>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360" w:lineRule="auto"/>
        <w:rPr>
          <w:rFonts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1"/>
          <w:szCs w:val="21"/>
          <w:highlight w:val="none"/>
        </w:rPr>
        <w:t xml:space="preserve">附件1</w:t>
      </w: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：《中小微企业声明函》《残疾人福利性单位声明函》《监狱企业证明文件》。</w:t>
      </w:r>
      <w:r>
        <w:rPr>
          <w:color w:val="auto"/>
          <w:highlight w:val="none"/>
        </w:rPr>
      </w:r>
      <w:r/>
    </w:p>
    <w:p>
      <w:pPr>
        <w:ind w:firstLine="422"/>
        <w:jc w:val="center"/>
        <w:spacing w:line="360" w:lineRule="auto"/>
        <w:rPr>
          <w:rFonts w:ascii="宋体" w:hAnsi="宋体" w:cs="宋体"/>
          <w:b/>
          <w:bCs/>
          <w:color w:val="auto"/>
          <w:sz w:val="24"/>
          <w:highlight w:val="none"/>
        </w:rPr>
      </w:pPr>
      <w:r>
        <w:rPr>
          <w:color w:val="auto"/>
          <w:highlight w:val="none"/>
        </w:rPr>
      </w:r>
      <w:bookmarkStart w:id="9" w:name="_Toc394140891"/>
      <w:r>
        <w:rPr>
          <w:color w:val="auto"/>
          <w:highlight w:val="none"/>
        </w:rPr>
      </w:r>
      <w:bookmarkStart w:id="10" w:name="_Toc480743610"/>
      <w:r>
        <w:rPr>
          <w:color w:val="auto"/>
          <w:highlight w:val="none"/>
        </w:rPr>
      </w:r>
      <w:bookmarkStart w:id="11" w:name="_Toc480790630"/>
      <w:r>
        <w:rPr>
          <w:color w:val="auto"/>
          <w:highlight w:val="none"/>
        </w:rPr>
      </w:r>
      <w:bookmarkStart w:id="12" w:name="_Toc415770244"/>
      <w:r>
        <w:rPr>
          <w:color w:val="auto"/>
          <w:highlight w:val="none"/>
        </w:rPr>
      </w:r>
      <w:bookmarkStart w:id="13" w:name="_Toc394588090"/>
      <w:r>
        <w:rPr>
          <w:color w:val="auto"/>
          <w:highlight w:val="none"/>
        </w:rPr>
      </w:r>
      <w:bookmarkStart w:id="14" w:name="_Toc480908480"/>
      <w:r>
        <w:rPr>
          <w:color w:val="auto"/>
          <w:highlight w:val="none"/>
        </w:rPr>
      </w:r>
      <w:bookmarkStart w:id="15" w:name="_Toc481587717"/>
      <w:r>
        <w:rPr>
          <w:color w:val="auto"/>
          <w:highlight w:val="none"/>
        </w:rPr>
      </w:r>
      <w:bookmarkStart w:id="16" w:name="_Toc393909203"/>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r/>
    </w:p>
    <w:p>
      <w:pPr>
        <w:jc w:val="cente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lang w:val="zh-CN" w:bidi="zh-CN"/>
        </w:rPr>
        <w:t xml:space="preserve">中小企业声明函（服务）</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highlight w:val="none"/>
        </w:rPr>
      </w:r>
      <w:r/>
    </w:p>
    <w:p>
      <w:pPr>
        <w:ind w:firstLine="420"/>
        <w:spacing w:line="360" w:lineRule="auto"/>
        <w:tabs>
          <w:tab w:val="left" w:pos="1243" w:leader="none"/>
        </w:tabs>
        <w:rPr>
          <w:rFonts w:ascii="宋体" w:hAnsi="宋体" w:cs="宋体"/>
          <w:color w:val="auto"/>
          <w:szCs w:val="21"/>
          <w:highlight w:val="none"/>
          <w:u w:val="single"/>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color w:val="auto"/>
          <w:highlight w:val="none"/>
        </w:rPr>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bidi="zh-CN"/>
        </w:rPr>
        <w:t xml:space="preserve">……</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bidi="zh-CN"/>
        </w:rPr>
        <w:t xml:space="preserve">本企业对上述声明内容的真实性负责。如有虚假，将依法承担相应责任。</w:t>
      </w:r>
      <w:r>
        <w:rPr>
          <w:color w:val="auto"/>
          <w:highlight w:val="none"/>
        </w:rPr>
      </w:r>
      <w:r/>
    </w:p>
    <w:p>
      <w:pPr>
        <w:ind w:left="4410" w:firstLine="420"/>
        <w:jc w:val="left"/>
        <w:spacing w:line="360" w:lineRule="auto"/>
        <w:rPr>
          <w:rFonts w:ascii="宋体" w:hAnsi="宋体" w:cs="宋体"/>
          <w:color w:val="auto"/>
          <w:szCs w:val="21"/>
          <w:highlight w:val="none"/>
        </w:rPr>
      </w:pPr>
      <w:r>
        <w:rPr>
          <w:rFonts w:ascii="宋体" w:hAnsi="宋体" w:cs="宋体"/>
          <w:color w:val="auto"/>
          <w:szCs w:val="21"/>
          <w:highlight w:val="none"/>
          <w:lang w:val="zh-CN" w:bidi="zh-CN"/>
        </w:rPr>
      </w:r>
      <w:r>
        <w:rPr>
          <w:color w:val="auto"/>
          <w:highlight w:val="none"/>
        </w:rPr>
      </w:r>
      <w:r/>
    </w:p>
    <w:p>
      <w:pPr>
        <w:ind w:left="4410"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bidi="zh-CN"/>
        </w:rPr>
        <w:t xml:space="preserve">企业名称（盖章）：</w:t>
      </w:r>
      <w:r>
        <w:rPr>
          <w:color w:val="auto"/>
          <w:highlight w:val="none"/>
        </w:rPr>
      </w:r>
      <w:r/>
    </w:p>
    <w:p>
      <w:pPr>
        <w:ind w:left="4410" w:firstLine="420"/>
        <w:jc w:val="left"/>
        <w:spacing w:line="360" w:lineRule="auto"/>
        <w:rPr>
          <w:rFonts w:ascii="宋体" w:hAnsi="宋体" w:cs="宋体"/>
          <w:color w:val="auto"/>
          <w:szCs w:val="21"/>
          <w:highlight w:val="none"/>
        </w:rPr>
      </w:pPr>
      <w:r>
        <w:rPr>
          <w:rFonts w:ascii="宋体" w:hAnsi="宋体" w:cs="宋体"/>
          <w:color w:val="auto"/>
          <w:szCs w:val="21"/>
          <w:highlight w:val="none"/>
          <w:lang w:val="zh-CN" w:bidi="zh-CN"/>
        </w:rPr>
      </w:r>
      <w:r>
        <w:rPr>
          <w:color w:val="auto"/>
          <w:highlight w:val="none"/>
        </w:rPr>
      </w:r>
      <w:r/>
    </w:p>
    <w:p>
      <w:pPr>
        <w:ind w:left="4410"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bidi="zh-CN"/>
        </w:rPr>
        <w:t xml:space="preserve">日期：</w:t>
      </w:r>
      <w:r>
        <w:rPr>
          <w:color w:val="auto"/>
          <w:highlight w:val="none"/>
        </w:rPr>
      </w:r>
      <w:r/>
    </w:p>
    <w:p>
      <w:pPr>
        <w:jc w:val="left"/>
        <w:spacing w:line="360" w:lineRule="auto"/>
        <w:rPr>
          <w:rFonts w:ascii="宋体" w:hAnsi="宋体" w:cs="宋体"/>
          <w:color w:val="auto"/>
          <w:sz w:val="22"/>
          <w:szCs w:val="22"/>
          <w:highlight w:val="none"/>
        </w:rPr>
      </w:pPr>
      <w:r>
        <w:rPr>
          <w:rFonts w:ascii="宋体" w:hAnsi="宋体" w:cs="宋体"/>
          <w:color w:val="auto"/>
          <w:sz w:val="22"/>
          <w:szCs w:val="22"/>
          <w:highlight w:val="none"/>
          <w:lang w:val="zh-CN" w:bidi="zh-CN"/>
        </w:rPr>
      </w:r>
      <w:r>
        <w:rPr>
          <w:color w:val="auto"/>
          <w:highlight w:val="none"/>
        </w:rPr>
      </w:r>
      <w:r/>
    </w:p>
    <w:p>
      <w:pPr>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zh-CN" w:bidi="zh-CN"/>
        </w:rPr>
        <w:t xml:space="preserve">备注：</w:t>
      </w:r>
      <w:r>
        <w:rPr>
          <w:color w:val="auto"/>
          <w:highlight w:val="none"/>
        </w:rPr>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rPr>
          <w:color w:val="auto"/>
          <w:highlight w:val="none"/>
        </w:rPr>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rPr>
          <w:color w:val="auto"/>
          <w:highlight w:val="none"/>
        </w:rPr>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rPr>
          <w:color w:val="auto"/>
          <w:highlight w:val="none"/>
        </w:rPr>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rPr>
          <w:color w:val="auto"/>
          <w:highlight w:val="none"/>
        </w:rPr>
      </w:r>
      <w:r/>
    </w:p>
    <w:p>
      <w:pPr>
        <w:rPr>
          <w:color w:val="auto"/>
          <w:highlight w:val="none"/>
        </w:rPr>
      </w:pPr>
      <w:r>
        <w:rPr>
          <w:rFonts w:hint="eastAsia"/>
          <w:color w:val="auto"/>
          <w:highlight w:val="none"/>
        </w:rPr>
        <w:br w:type="page" w:clear="all"/>
      </w:r>
      <w:r>
        <w:rPr>
          <w:color w:val="auto"/>
          <w:highlight w:val="none"/>
        </w:rPr>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r/>
    </w:p>
    <w:p>
      <w:pPr>
        <w:numPr>
          <w:ilvl w:val="0"/>
          <w:numId w:val="4"/>
        </w:num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r/>
    </w:p>
    <w:p>
      <w:pPr>
        <w:numPr>
          <w:ilvl w:val="0"/>
          <w:numId w:val="4"/>
        </w:numPr>
        <w:ind w:firstLine="422"/>
        <w:spacing w:line="360" w:lineRule="auto"/>
        <w:widowControl/>
        <w:rPr>
          <w:color w:val="auto"/>
          <w:highlight w:val="none"/>
        </w:rPr>
      </w:pPr>
      <w:r>
        <w:rPr>
          <w:rFonts w:hint="eastAsia" w:ascii="宋体" w:hAnsi="宋体" w:cs="宋体"/>
          <w:b/>
          <w:color w:val="auto"/>
          <w:szCs w:val="21"/>
          <w:highlight w:val="none"/>
        </w:rPr>
        <w:t xml:space="preserve">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r/>
    </w:p>
    <w:p>
      <w:pP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center"/>
        <w:spacing w:line="360" w:lineRule="auto"/>
        <w:rPr>
          <w:rFonts w:ascii="宋体" w:hAnsi="宋体" w:cs="宋体"/>
          <w:b/>
          <w:color w:val="auto"/>
          <w:szCs w:val="21"/>
          <w:highlight w:val="none"/>
        </w:rPr>
      </w:pPr>
      <w:r>
        <w:rPr>
          <w:color w:val="auto"/>
          <w:highlight w:val="none"/>
        </w:rPr>
      </w:r>
      <w:bookmarkStart w:id="17" w:name="OLE_LINK13"/>
      <w:r>
        <w:rPr>
          <w:color w:val="auto"/>
          <w:highlight w:val="none"/>
        </w:rPr>
      </w:r>
      <w:bookmarkStart w:id="18" w:name="OLE_LINK14"/>
      <w:r>
        <w:rPr>
          <w:color w:val="auto"/>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rPr>
          <w:color w:val="auto"/>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rPr>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bookmarkEnd w:id="17"/>
      <w:r>
        <w:rPr>
          <w:color w:val="auto"/>
          <w:highlight w:val="none"/>
        </w:rPr>
      </w:r>
      <w:bookmarkEnd w:id="18"/>
      <w:r>
        <w:rPr>
          <w:color w:val="auto"/>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rPr>
          <w:color w:val="auto"/>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rPr>
          <w:color w:val="auto"/>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rPr>
          <w:color w:val="auto"/>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成交、成交供应商为残疾人福利性单位的，采购人或者其委托的采购代理机构应当随成交、成交结果同时公告其《残疾人福利性单位声明函》，接受社会监督。</w:t>
      </w:r>
      <w:r>
        <w:rPr>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br w:type="page" w:clear="all"/>
      </w:r>
      <w:r>
        <w:rPr>
          <w:color w:val="auto"/>
          <w:highlight w:val="none"/>
        </w:rPr>
      </w:r>
      <w:r/>
    </w:p>
    <w:p>
      <w:pPr>
        <w:jc w:val="center"/>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rPr>
          <w:color w:val="auto"/>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rPr>
          <w:color w:val="auto"/>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rPr>
          <w:color w:val="auto"/>
          <w:highlight w:val="none"/>
        </w:rPr>
      </w:r>
      <w:r/>
    </w:p>
    <w:p>
      <w:pPr>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pStyle w:val="1016"/>
        <w:rPr>
          <w:rFonts w:hAnsi="宋体" w:cs="宋体"/>
          <w:color w:val="auto"/>
          <w:szCs w:val="21"/>
          <w:highlight w:val="none"/>
        </w:rPr>
      </w:pPr>
      <w:r>
        <w:rPr>
          <w:rFonts w:hint="eastAsia" w:hAnsi="宋体" w:cs="宋体"/>
          <w:color w:val="auto"/>
          <w:szCs w:val="21"/>
          <w:highlight w:val="none"/>
        </w:rPr>
        <w:t xml:space="preserve">                                                                     </w:t>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pStyle w:val="1016"/>
        <w:rPr>
          <w:rFonts w:hAnsi="宋体" w:cs="宋体"/>
          <w:color w:val="auto"/>
          <w:szCs w:val="21"/>
          <w:highlight w:val="none"/>
        </w:rPr>
      </w:pPr>
      <w:r>
        <w:rPr>
          <w:rFonts w:hAnsi="宋体" w:cs="宋体"/>
          <w:color w:val="auto"/>
          <w:szCs w:val="21"/>
          <w:highlight w:val="none"/>
        </w:rPr>
      </w:r>
      <w:r>
        <w:rPr>
          <w:color w:val="auto"/>
          <w:highlight w:val="none"/>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br w:type="page" w:clear="all"/>
      </w:r>
      <w:r/>
    </w:p>
    <w:p>
      <w:pP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t xml:space="preserve">附件</w:t>
      </w:r>
      <w:r>
        <w:rPr>
          <w:rFonts w:hint="eastAsia" w:ascii="宋体" w:hAnsi="宋体" w:eastAsia="宋体" w:cs="宋体"/>
          <w:b/>
          <w:bCs/>
          <w:color w:val="000000" w:themeColor="text1"/>
          <w:spacing w:val="0"/>
          <w:sz w:val="21"/>
          <w:szCs w:val="21"/>
          <w:highlight w:val="none"/>
          <w14:textFill>
            <w14:solidFill>
              <w14:schemeClr w14:val="tx1"/>
            </w14:solidFill>
          </w14:textFill>
        </w:rPr>
        <w:t xml:space="preserve">1</w:t>
      </w:r>
      <w:r>
        <w:rPr>
          <w:rFonts w:hint="eastAsia" w:ascii="宋体" w:hAnsi="宋体" w:cs="宋体"/>
          <w:b/>
          <w:bCs/>
          <w:color w:val="000000" w:themeColor="text1"/>
          <w:spacing w:val="0"/>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（该项为通知内容，不需要作为投标文件组成）</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jc w:val="cente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各政府采购供应商</w:t>
      </w:r>
      <w:r>
        <w:rPr>
          <w:rFonts w:hint="eastAsia" w:ascii="宋体" w:hAnsi="宋体" w:cs="宋体"/>
          <w:b/>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苏财购〔2021〕82号</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及苏州市财政局、人民银行苏州市分行相关文件要求，按照双方自愿的原则提供便捷、优惠的贷款服务。</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6"/>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16"/>
        <w:jc w:val="right"/>
        <w:rPr>
          <w:rFonts w:hAnsi="宋体" w:cs="宋体"/>
          <w:b/>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 xml:space="preserve">（全文完）</w:t>
      </w:r>
      <w:r/>
    </w:p>
    <w:sectPr>
      <w:headerReference w:type="default" r:id="rId11"/>
      <w:footerReference w:type="default" r:id="rId16"/>
      <w:footnotePr/>
      <w:endnotePr/>
      <w:type w:val="nextPage"/>
      <w:pgSz w:w="11906" w:h="16838" w:orient="portrait"/>
      <w:pgMar w:top="12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87"/>
                          </w:pPr>
                          <w:r>
                            <w:fldChar w:fldCharType="begin"/>
                          </w:r>
                          <w:r>
                            <w:instrText xml:space="preserve"> PAGE  \* MERGEFORMAT </w:instrText>
                          </w:r>
                          <w:r>
                            <w:fldChar w:fldCharType="separate"/>
                          </w:r>
                          <w:r>
                            <w:t xml:space="preserve">23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JSZC-320509-SZYJ-C2025-0061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u w:val="single"/>
      </w:rPr>
      <w:pBdr>
        <w:bottom w:val="none" w:color="auto" w:sz="0" w:space="0"/>
      </w:pBdr>
    </w:pPr>
    <w:r>
      <w:rPr>
        <w:u w:val="single"/>
      </w:rPr>
    </w:r>
    <w:r/>
  </w:p>
  <w:p>
    <w:pPr>
      <w:pStyle w:val="988"/>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JSZC-320509-SZYJ-C2025-0061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JSZC-320509-SZYJ-C2025-0061</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972"/>
    <w:link w:val="967"/>
    <w:uiPriority w:val="9"/>
    <w:rPr>
      <w:rFonts w:ascii="Arial" w:hAnsi="Arial" w:eastAsia="Arial" w:cs="Arial"/>
      <w:sz w:val="40"/>
      <w:szCs w:val="40"/>
    </w:rPr>
  </w:style>
  <w:style w:type="character" w:styleId="811">
    <w:name w:val="Heading 2 Char"/>
    <w:basedOn w:val="972"/>
    <w:link w:val="968"/>
    <w:uiPriority w:val="9"/>
    <w:rPr>
      <w:rFonts w:ascii="Arial" w:hAnsi="Arial" w:eastAsia="Arial" w:cs="Arial"/>
      <w:sz w:val="34"/>
    </w:rPr>
  </w:style>
  <w:style w:type="paragraph" w:styleId="812">
    <w:name w:val="Heading 6"/>
    <w:basedOn w:val="966"/>
    <w:next w:val="966"/>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2"/>
    <w:link w:val="812"/>
    <w:uiPriority w:val="9"/>
    <w:rPr>
      <w:rFonts w:ascii="Arial" w:hAnsi="Arial" w:eastAsia="Arial" w:cs="Arial"/>
      <w:b/>
      <w:bCs/>
      <w:sz w:val="22"/>
      <w:szCs w:val="22"/>
    </w:rPr>
  </w:style>
  <w:style w:type="paragraph" w:styleId="814">
    <w:name w:val="Heading 7"/>
    <w:basedOn w:val="966"/>
    <w:next w:val="966"/>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2"/>
    <w:link w:val="814"/>
    <w:uiPriority w:val="9"/>
    <w:rPr>
      <w:rFonts w:ascii="Arial" w:hAnsi="Arial" w:eastAsia="Arial" w:cs="Arial"/>
      <w:b/>
      <w:bCs/>
      <w:i/>
      <w:iCs/>
      <w:sz w:val="22"/>
      <w:szCs w:val="22"/>
    </w:rPr>
  </w:style>
  <w:style w:type="paragraph" w:styleId="816">
    <w:name w:val="Heading 8"/>
    <w:basedOn w:val="966"/>
    <w:next w:val="966"/>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2"/>
    <w:link w:val="816"/>
    <w:uiPriority w:val="9"/>
    <w:rPr>
      <w:rFonts w:ascii="Arial" w:hAnsi="Arial" w:eastAsia="Arial" w:cs="Arial"/>
      <w:i/>
      <w:iCs/>
      <w:sz w:val="22"/>
      <w:szCs w:val="22"/>
    </w:rPr>
  </w:style>
  <w:style w:type="paragraph" w:styleId="818">
    <w:name w:val="Heading 9"/>
    <w:basedOn w:val="966"/>
    <w:next w:val="966"/>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2"/>
    <w:link w:val="818"/>
    <w:uiPriority w:val="9"/>
    <w:rPr>
      <w:rFonts w:ascii="Arial" w:hAnsi="Arial" w:eastAsia="Arial" w:cs="Arial"/>
      <w:i/>
      <w:iCs/>
      <w:sz w:val="21"/>
      <w:szCs w:val="21"/>
    </w:rPr>
  </w:style>
  <w:style w:type="character" w:styleId="820">
    <w:name w:val="Title Char"/>
    <w:basedOn w:val="972"/>
    <w:link w:val="998"/>
    <w:uiPriority w:val="10"/>
    <w:rPr>
      <w:sz w:val="48"/>
      <w:szCs w:val="48"/>
    </w:rPr>
  </w:style>
  <w:style w:type="character" w:styleId="821">
    <w:name w:val="Subtitle Char"/>
    <w:basedOn w:val="972"/>
    <w:link w:val="991"/>
    <w:uiPriority w:val="11"/>
    <w:rPr>
      <w:sz w:val="24"/>
      <w:szCs w:val="24"/>
    </w:rPr>
  </w:style>
  <w:style w:type="paragraph" w:styleId="822">
    <w:name w:val="Quote"/>
    <w:basedOn w:val="966"/>
    <w:next w:val="966"/>
    <w:link w:val="823"/>
    <w:uiPriority w:val="29"/>
    <w:qFormat/>
    <w:pPr>
      <w:ind w:left="720" w:right="720"/>
    </w:pPr>
    <w:rPr>
      <w:i/>
    </w:rPr>
  </w:style>
  <w:style w:type="character" w:styleId="823">
    <w:name w:val="Quote Char"/>
    <w:link w:val="822"/>
    <w:uiPriority w:val="29"/>
    <w:rPr>
      <w:i/>
    </w:rPr>
  </w:style>
  <w:style w:type="paragraph" w:styleId="824">
    <w:name w:val="Intense Quote"/>
    <w:basedOn w:val="966"/>
    <w:next w:val="96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Caption"/>
    <w:basedOn w:val="966"/>
    <w:next w:val="966"/>
    <w:uiPriority w:val="35"/>
    <w:semiHidden/>
    <w:unhideWhenUsed/>
    <w:qFormat/>
    <w:pPr>
      <w:spacing w:line="276" w:lineRule="auto"/>
    </w:pPr>
    <w:rPr>
      <w:b/>
      <w:bCs/>
      <w:color w:val="4f81bd" w:themeColor="accent1"/>
      <w:sz w:val="18"/>
      <w:szCs w:val="18"/>
    </w:rPr>
  </w:style>
  <w:style w:type="character" w:styleId="827">
    <w:name w:val="Caption Char"/>
    <w:basedOn w:val="826"/>
    <w:link w:val="987"/>
    <w:uiPriority w:val="99"/>
  </w:style>
  <w:style w:type="table" w:styleId="828">
    <w:name w:val="Table Grid Light"/>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basedOn w:val="9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basedOn w:val="9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basedOn w:val="9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basedOn w:val="9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basedOn w:val="9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basedOn w:val="9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basedOn w:val="9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basedOn w:val="9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basedOn w:val="9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basedOn w:val="9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basedOn w:val="9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basedOn w:val="9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basedOn w:val="9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basedOn w:val="9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basedOn w:val="9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basedOn w:val="9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basedOn w:val="9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basedOn w:val="9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basedOn w:val="9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basedOn w:val="9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basedOn w:val="9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basedOn w:val="9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basedOn w:val="9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basedOn w:val="9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basedOn w:val="9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basedOn w:val="9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basedOn w:val="9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basedOn w:val="9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basedOn w:val="9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basedOn w:val="9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basedOn w:val="9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basedOn w:val="9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3">
    <w:name w:val="footnote text"/>
    <w:basedOn w:val="966"/>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basedOn w:val="972"/>
    <w:uiPriority w:val="99"/>
    <w:unhideWhenUsed/>
    <w:rPr>
      <w:vertAlign w:val="superscript"/>
    </w:rPr>
  </w:style>
  <w:style w:type="paragraph" w:styleId="956">
    <w:name w:val="endnote text"/>
    <w:basedOn w:val="966"/>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2"/>
    <w:uiPriority w:val="99"/>
    <w:semiHidden/>
    <w:unhideWhenUsed/>
    <w:rPr>
      <w:vertAlign w:val="superscript"/>
    </w:r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74"/>
    <w:uiPriority w:val="0"/>
    <w:qFormat/>
    <w:pPr>
      <w:jc w:val="both"/>
      <w:widowControl w:val="off"/>
    </w:pPr>
    <w:rPr>
      <w:rFonts w:ascii="Times New Roman" w:hAnsi="Times New Roman" w:eastAsia="宋体" w:cs="Times New Roman"/>
      <w:sz w:val="21"/>
      <w:szCs w:val="24"/>
      <w:lang w:val="en-US" w:eastAsia="zh-CN" w:bidi="ar-SA"/>
    </w:rPr>
  </w:style>
  <w:style w:type="paragraph" w:styleId="967">
    <w:name w:val="Heading 1"/>
    <w:basedOn w:val="966"/>
    <w:next w:val="966"/>
    <w:link w:val="1020"/>
    <w:uiPriority w:val="0"/>
    <w:qFormat/>
    <w:pPr>
      <w:keepLines/>
      <w:keepNext/>
      <w:spacing w:before="340" w:after="330" w:line="576" w:lineRule="auto"/>
      <w:outlineLvl w:val="0"/>
    </w:pPr>
    <w:rPr>
      <w:b/>
      <w:bCs/>
      <w:sz w:val="44"/>
      <w:szCs w:val="44"/>
    </w:rPr>
  </w:style>
  <w:style w:type="paragraph" w:styleId="968">
    <w:name w:val="Heading 2"/>
    <w:basedOn w:val="966"/>
    <w:next w:val="966"/>
    <w:link w:val="1021"/>
    <w:uiPriority w:val="0"/>
    <w:qFormat/>
    <w:pPr>
      <w:keepLines/>
      <w:keepNext/>
      <w:spacing w:before="260" w:after="260" w:line="413" w:lineRule="auto"/>
      <w:outlineLvl w:val="1"/>
    </w:pPr>
    <w:rPr>
      <w:rFonts w:ascii="Cambria" w:hAnsi="Cambria"/>
      <w:b/>
      <w:sz w:val="32"/>
    </w:rPr>
  </w:style>
  <w:style w:type="paragraph" w:styleId="969">
    <w:name w:val="Heading 3"/>
    <w:basedOn w:val="966"/>
    <w:next w:val="966"/>
    <w:link w:val="1022"/>
    <w:uiPriority w:val="0"/>
    <w:qFormat/>
    <w:pPr>
      <w:keepLines/>
      <w:keepNext/>
      <w:spacing w:before="260" w:after="260" w:line="413" w:lineRule="auto"/>
      <w:outlineLvl w:val="2"/>
    </w:pPr>
    <w:rPr>
      <w:b/>
      <w:bCs/>
      <w:sz w:val="32"/>
      <w:szCs w:val="32"/>
    </w:rPr>
  </w:style>
  <w:style w:type="paragraph" w:styleId="970">
    <w:name w:val="Heading 4"/>
    <w:basedOn w:val="966"/>
    <w:next w:val="966"/>
    <w:link w:val="1023"/>
    <w:uiPriority w:val="0"/>
    <w:qFormat/>
    <w:pPr>
      <w:keepNext/>
      <w:spacing w:before="240" w:after="60"/>
      <w:outlineLvl w:val="3"/>
    </w:pPr>
    <w:rPr>
      <w:b/>
      <w:bCs/>
      <w:sz w:val="28"/>
      <w:szCs w:val="28"/>
    </w:rPr>
  </w:style>
  <w:style w:type="paragraph" w:styleId="971">
    <w:name w:val="Heading 5"/>
    <w:basedOn w:val="966"/>
    <w:next w:val="966"/>
    <w:link w:val="1024"/>
    <w:uiPriority w:val="0"/>
    <w:qFormat/>
    <w:pPr>
      <w:spacing w:before="240" w:after="60"/>
      <w:outlineLvl w:val="4"/>
    </w:pPr>
    <w:rPr>
      <w:b/>
      <w:bCs/>
      <w:i/>
      <w:iCs/>
      <w:sz w:val="26"/>
      <w:szCs w:val="26"/>
    </w:rPr>
  </w:style>
  <w:style w:type="character" w:styleId="972" w:default="1">
    <w:name w:val="Default Paragraph Font"/>
    <w:uiPriority w:val="1"/>
    <w:semiHidden/>
    <w:unhideWhenUsed/>
    <w:qFormat/>
  </w:style>
  <w:style w:type="table" w:styleId="973" w:default="1">
    <w:name w:val="Normal Table"/>
    <w:uiPriority w:val="99"/>
    <w:semiHidden/>
    <w:unhideWhenUsed/>
    <w:qFormat/>
    <w:tblPr>
      <w:tblCellMar>
        <w:left w:w="108" w:type="dxa"/>
        <w:top w:w="0" w:type="dxa"/>
        <w:right w:w="108" w:type="dxa"/>
        <w:bottom w:w="0" w:type="dxa"/>
      </w:tblCellMar>
    </w:tblPr>
  </w:style>
  <w:style w:type="paragraph" w:styleId="974">
    <w:name w:val="Body Text"/>
    <w:basedOn w:val="966"/>
    <w:next w:val="975"/>
    <w:link w:val="1019"/>
    <w:uiPriority w:val="0"/>
    <w:qFormat/>
    <w:pPr>
      <w:spacing w:after="120"/>
    </w:pPr>
  </w:style>
  <w:style w:type="paragraph" w:styleId="975">
    <w:name w:val="Normal Indent"/>
    <w:basedOn w:val="966"/>
    <w:next w:val="966"/>
    <w:link w:val="1025"/>
    <w:uiPriority w:val="0"/>
    <w:qFormat/>
    <w:pPr>
      <w:ind w:firstLine="420"/>
      <w:jc w:val="left"/>
      <w:widowControl/>
    </w:pPr>
    <w:rPr>
      <w:rFonts w:eastAsia="楷体_GB2312"/>
      <w:sz w:val="24"/>
    </w:rPr>
  </w:style>
  <w:style w:type="paragraph" w:styleId="976">
    <w:name w:val="List Bullet"/>
    <w:basedOn w:val="966"/>
    <w:uiPriority w:val="0"/>
    <w:qFormat/>
    <w:pPr>
      <w:ind w:left="420" w:hanging="420"/>
      <w:tabs>
        <w:tab w:val="left" w:pos="1155" w:leader="none"/>
      </w:tabs>
    </w:pPr>
    <w:rPr>
      <w:rFonts w:eastAsia="仿宋_GB2312"/>
      <w:sz w:val="30"/>
      <w:szCs w:val="20"/>
    </w:rPr>
  </w:style>
  <w:style w:type="paragraph" w:styleId="977">
    <w:name w:val="Document Map"/>
    <w:basedOn w:val="966"/>
    <w:uiPriority w:val="0"/>
    <w:qFormat/>
    <w:pPr>
      <w:shd w:val="clear" w:color="auto" w:fill="000080"/>
    </w:pPr>
  </w:style>
  <w:style w:type="paragraph" w:styleId="978">
    <w:name w:val="annotation text"/>
    <w:basedOn w:val="966"/>
    <w:link w:val="1026"/>
    <w:uiPriority w:val="0"/>
    <w:qFormat/>
    <w:pPr>
      <w:jc w:val="left"/>
    </w:pPr>
  </w:style>
  <w:style w:type="paragraph" w:styleId="979">
    <w:name w:val="Body Text Indent"/>
    <w:basedOn w:val="966"/>
    <w:next w:val="980"/>
    <w:link w:val="1027"/>
    <w:uiPriority w:val="0"/>
    <w:qFormat/>
    <w:pPr>
      <w:ind w:left="420"/>
      <w:spacing w:after="120"/>
    </w:pPr>
  </w:style>
  <w:style w:type="paragraph" w:styleId="980">
    <w:name w:val="envelope return"/>
    <w:basedOn w:val="966"/>
    <w:uiPriority w:val="0"/>
    <w:qFormat/>
    <w:rPr>
      <w:rFonts w:ascii="Arial" w:hAnsi="Arial"/>
    </w:rPr>
  </w:style>
  <w:style w:type="paragraph" w:styleId="981">
    <w:name w:val="Block Text"/>
    <w:basedOn w:val="966"/>
    <w:uiPriority w:val="0"/>
    <w:qFormat/>
    <w:pPr>
      <w:ind w:left="630" w:right="-609" w:firstLine="420"/>
      <w:spacing w:line="360" w:lineRule="auto"/>
    </w:pPr>
    <w:rPr>
      <w:rFonts w:hint="eastAsia" w:ascii="仿宋_GB2312" w:eastAsia="仿宋_GB2312"/>
      <w:szCs w:val="20"/>
    </w:rPr>
  </w:style>
  <w:style w:type="paragraph" w:styleId="982">
    <w:name w:val="toc 3"/>
    <w:basedOn w:val="966"/>
    <w:next w:val="966"/>
    <w:uiPriority w:val="0"/>
    <w:qFormat/>
    <w:pPr>
      <w:ind w:left="840" w:firstLine="200"/>
      <w:jc w:val="left"/>
      <w:spacing w:line="360" w:lineRule="auto"/>
    </w:pPr>
    <w:rPr>
      <w:sz w:val="24"/>
      <w:szCs w:val="22"/>
    </w:rPr>
  </w:style>
  <w:style w:type="paragraph" w:styleId="983">
    <w:name w:val="Plain Text"/>
    <w:basedOn w:val="966"/>
    <w:link w:val="1028"/>
    <w:uiPriority w:val="0"/>
    <w:qFormat/>
    <w:pPr>
      <w:jc w:val="left"/>
      <w:widowControl/>
    </w:pPr>
    <w:rPr>
      <w:rFonts w:ascii="宋体" w:hAnsi="Courier New" w:eastAsia="楷体_GB2312"/>
      <w:sz w:val="26"/>
    </w:rPr>
  </w:style>
  <w:style w:type="paragraph" w:styleId="984">
    <w:name w:val="Date"/>
    <w:basedOn w:val="966"/>
    <w:next w:val="966"/>
    <w:link w:val="1029"/>
    <w:uiPriority w:val="0"/>
    <w:qFormat/>
  </w:style>
  <w:style w:type="paragraph" w:styleId="985">
    <w:name w:val="Body Text Indent 2"/>
    <w:basedOn w:val="966"/>
    <w:uiPriority w:val="0"/>
    <w:qFormat/>
    <w:pPr>
      <w:ind w:left="420"/>
      <w:spacing w:after="120" w:line="480" w:lineRule="auto"/>
    </w:pPr>
  </w:style>
  <w:style w:type="paragraph" w:styleId="986">
    <w:name w:val="Balloon Text"/>
    <w:basedOn w:val="966"/>
    <w:link w:val="1030"/>
    <w:uiPriority w:val="0"/>
    <w:qFormat/>
    <w:rPr>
      <w:sz w:val="18"/>
      <w:szCs w:val="18"/>
    </w:rPr>
  </w:style>
  <w:style w:type="paragraph" w:styleId="987">
    <w:name w:val="Footer"/>
    <w:basedOn w:val="966"/>
    <w:link w:val="1031"/>
    <w:uiPriority w:val="0"/>
    <w:qFormat/>
    <w:pPr>
      <w:jc w:val="left"/>
      <w:tabs>
        <w:tab w:val="center" w:pos="4153" w:leader="none"/>
        <w:tab w:val="right" w:pos="8306" w:leader="none"/>
      </w:tabs>
    </w:pPr>
    <w:rPr>
      <w:sz w:val="18"/>
      <w:szCs w:val="18"/>
    </w:rPr>
  </w:style>
  <w:style w:type="paragraph" w:styleId="988">
    <w:name w:val="Header"/>
    <w:basedOn w:val="966"/>
    <w:link w:val="1032"/>
    <w:uiPriority w:val="0"/>
    <w:qFormat/>
    <w:pPr>
      <w:jc w:val="center"/>
      <w:tabs>
        <w:tab w:val="center" w:pos="4153" w:leader="none"/>
        <w:tab w:val="right" w:pos="8306" w:leader="none"/>
      </w:tabs>
      <w:pBdr>
        <w:bottom w:val="single" w:color="auto" w:sz="6" w:space="1"/>
      </w:pBdr>
    </w:pPr>
    <w:rPr>
      <w:sz w:val="18"/>
      <w:szCs w:val="18"/>
    </w:rPr>
  </w:style>
  <w:style w:type="paragraph" w:styleId="989">
    <w:name w:val="toc 1"/>
    <w:basedOn w:val="966"/>
    <w:next w:val="966"/>
    <w:uiPriority w:val="0"/>
    <w:qFormat/>
    <w:pPr>
      <w:jc w:val="left"/>
    </w:pPr>
    <w:rPr>
      <w:rFonts w:eastAsia="楷体_GB2312"/>
      <w:sz w:val="24"/>
      <w:szCs w:val="20"/>
    </w:rPr>
  </w:style>
  <w:style w:type="paragraph" w:styleId="990">
    <w:name w:val="toc 4"/>
    <w:basedOn w:val="966"/>
    <w:next w:val="966"/>
    <w:uiPriority w:val="0"/>
    <w:qFormat/>
    <w:pPr>
      <w:ind w:left="630"/>
      <w:jc w:val="left"/>
    </w:pPr>
    <w:rPr>
      <w:szCs w:val="21"/>
    </w:rPr>
  </w:style>
  <w:style w:type="paragraph" w:styleId="991">
    <w:name w:val="Subtitle"/>
    <w:basedOn w:val="966"/>
    <w:next w:val="966"/>
    <w:link w:val="1033"/>
    <w:uiPriority w:val="0"/>
    <w:qFormat/>
    <w:pPr>
      <w:jc w:val="center"/>
      <w:spacing w:before="240" w:after="60" w:line="312" w:lineRule="auto"/>
      <w:outlineLvl w:val="1"/>
    </w:pPr>
    <w:rPr>
      <w:rFonts w:ascii="宋体" w:hAnsi="Courier New" w:eastAsia="楷体_GB2312"/>
      <w:sz w:val="26"/>
    </w:rPr>
  </w:style>
  <w:style w:type="paragraph" w:styleId="992">
    <w:name w:val="List"/>
    <w:basedOn w:val="966"/>
    <w:next w:val="966"/>
    <w:uiPriority w:val="0"/>
    <w:qFormat/>
    <w:pPr>
      <w:ind w:left="420" w:hanging="420"/>
    </w:pPr>
    <w:rPr>
      <w:rFonts w:ascii="Arial" w:hAnsi="Arial" w:eastAsia="楷体_GB2312"/>
      <w:sz w:val="28"/>
    </w:rPr>
  </w:style>
  <w:style w:type="paragraph" w:styleId="993">
    <w:name w:val="Body Text Indent 3"/>
    <w:basedOn w:val="966"/>
    <w:uiPriority w:val="0"/>
    <w:qFormat/>
    <w:pPr>
      <w:ind w:firstLine="480"/>
      <w:jc w:val="left"/>
      <w:spacing w:line="440" w:lineRule="atLeast"/>
    </w:pPr>
    <w:rPr>
      <w:sz w:val="24"/>
    </w:rPr>
  </w:style>
  <w:style w:type="paragraph" w:styleId="994">
    <w:name w:val="toc 2"/>
    <w:basedOn w:val="966"/>
    <w:next w:val="966"/>
    <w:uiPriority w:val="0"/>
    <w:qFormat/>
    <w:pPr>
      <w:ind w:left="420" w:firstLine="200"/>
      <w:jc w:val="left"/>
      <w:spacing w:line="360" w:lineRule="auto"/>
    </w:pPr>
    <w:rPr>
      <w:sz w:val="24"/>
      <w:szCs w:val="22"/>
    </w:rPr>
  </w:style>
  <w:style w:type="paragraph" w:styleId="995">
    <w:name w:val="Body Text 2"/>
    <w:basedOn w:val="966"/>
    <w:uiPriority w:val="0"/>
    <w:qFormat/>
    <w:pPr>
      <w:spacing w:after="120" w:line="480" w:lineRule="auto"/>
    </w:pPr>
  </w:style>
  <w:style w:type="paragraph" w:styleId="996">
    <w:name w:val="Normal (Web)"/>
    <w:basedOn w:val="966"/>
    <w:uiPriority w:val="0"/>
    <w:qFormat/>
    <w:pPr>
      <w:jc w:val="left"/>
      <w:spacing w:before="100" w:beforeAutospacing="1" w:after="100" w:afterAutospacing="1"/>
      <w:widowControl/>
    </w:pPr>
    <w:rPr>
      <w:rFonts w:ascii="宋体" w:hAnsi="宋体" w:cs="宋体"/>
      <w:sz w:val="24"/>
    </w:rPr>
  </w:style>
  <w:style w:type="paragraph" w:styleId="997">
    <w:name w:val="index 1"/>
    <w:basedOn w:val="966"/>
    <w:next w:val="966"/>
    <w:uiPriority w:val="0"/>
    <w:qFormat/>
  </w:style>
  <w:style w:type="paragraph" w:styleId="998">
    <w:name w:val="Title"/>
    <w:basedOn w:val="966"/>
    <w:link w:val="1034"/>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999">
    <w:name w:val="annotation subject"/>
    <w:basedOn w:val="978"/>
    <w:next w:val="978"/>
    <w:link w:val="1035"/>
    <w:uiPriority w:val="0"/>
    <w:qFormat/>
    <w:rPr>
      <w:b/>
      <w:bCs/>
    </w:rPr>
  </w:style>
  <w:style w:type="paragraph" w:styleId="1000">
    <w:name w:val="Body Text First Indent"/>
    <w:basedOn w:val="974"/>
    <w:uiPriority w:val="0"/>
    <w:qFormat/>
    <w:pPr>
      <w:ind w:firstLine="420"/>
    </w:pPr>
  </w:style>
  <w:style w:type="paragraph" w:styleId="1001">
    <w:name w:val="Body Text First Indent 2"/>
    <w:basedOn w:val="979"/>
    <w:uiPriority w:val="99"/>
    <w:unhideWhenUsed/>
    <w:qFormat/>
    <w:pPr>
      <w:ind w:firstLine="420"/>
    </w:pPr>
  </w:style>
  <w:style w:type="table" w:styleId="1002">
    <w:name w:val="Table Grid"/>
    <w:basedOn w:val="9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3">
    <w:name w:val="Strong"/>
    <w:uiPriority w:val="0"/>
    <w:qFormat/>
    <w:rPr>
      <w:b/>
      <w:bCs/>
    </w:rPr>
  </w:style>
  <w:style w:type="character" w:styleId="1004">
    <w:name w:val="page number"/>
    <w:basedOn w:val="972"/>
    <w:uiPriority w:val="0"/>
    <w:qFormat/>
  </w:style>
  <w:style w:type="character" w:styleId="1005">
    <w:name w:val="FollowedHyperlink"/>
    <w:uiPriority w:val="0"/>
    <w:qFormat/>
    <w:rPr>
      <w:color w:val="800080"/>
      <w:szCs w:val="24"/>
      <w:u w:val="none"/>
    </w:rPr>
  </w:style>
  <w:style w:type="character" w:styleId="1006">
    <w:name w:val="Emphasis"/>
    <w:uiPriority w:val="0"/>
    <w:qFormat/>
    <w:rPr>
      <w:i/>
      <w:iCs/>
    </w:rPr>
  </w:style>
  <w:style w:type="character" w:styleId="1007">
    <w:name w:val="HTML Definition"/>
    <w:basedOn w:val="972"/>
    <w:uiPriority w:val="0"/>
    <w:qFormat/>
  </w:style>
  <w:style w:type="character" w:styleId="1008">
    <w:name w:val="HTML Variable"/>
    <w:basedOn w:val="972"/>
    <w:uiPriority w:val="0"/>
    <w:qFormat/>
  </w:style>
  <w:style w:type="character" w:styleId="1009">
    <w:name w:val="Hyperlink"/>
    <w:uiPriority w:val="0"/>
    <w:qFormat/>
    <w:rPr>
      <w:color w:val="000000"/>
      <w:szCs w:val="24"/>
      <w:u w:val="none"/>
    </w:rPr>
  </w:style>
  <w:style w:type="character" w:styleId="1010">
    <w:name w:val="HTML Code"/>
    <w:basedOn w:val="972"/>
    <w:uiPriority w:val="0"/>
    <w:qFormat/>
    <w:rPr>
      <w:rFonts w:hint="default" w:ascii="monospace" w:hAnsi="monospace" w:eastAsia="monospace" w:cs="monospace"/>
      <w:sz w:val="21"/>
      <w:szCs w:val="21"/>
    </w:rPr>
  </w:style>
  <w:style w:type="character" w:styleId="1011">
    <w:name w:val="annotation reference"/>
    <w:uiPriority w:val="0"/>
    <w:qFormat/>
    <w:rPr>
      <w:sz w:val="21"/>
      <w:szCs w:val="21"/>
    </w:rPr>
  </w:style>
  <w:style w:type="character" w:styleId="1012">
    <w:name w:val="HTML Cite"/>
    <w:basedOn w:val="972"/>
    <w:uiPriority w:val="0"/>
    <w:qFormat/>
  </w:style>
  <w:style w:type="character" w:styleId="1013">
    <w:name w:val="HTML Keyboard"/>
    <w:basedOn w:val="972"/>
    <w:uiPriority w:val="0"/>
    <w:qFormat/>
    <w:rPr>
      <w:rFonts w:ascii="monospace" w:hAnsi="monospace" w:eastAsia="monospace" w:cs="monospace"/>
      <w:sz w:val="21"/>
      <w:szCs w:val="21"/>
    </w:rPr>
  </w:style>
  <w:style w:type="character" w:styleId="1014">
    <w:name w:val="HTML Sample"/>
    <w:basedOn w:val="972"/>
    <w:uiPriority w:val="0"/>
    <w:qFormat/>
    <w:rPr>
      <w:rFonts w:hint="default" w:ascii="monospace" w:hAnsi="monospace" w:eastAsia="monospace" w:cs="monospace"/>
      <w:sz w:val="21"/>
      <w:szCs w:val="21"/>
    </w:rPr>
  </w:style>
  <w:style w:type="paragraph" w:styleId="1015"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段"/>
    <w:next w:val="966"/>
    <w:uiPriority w:val="0"/>
    <w:qFormat/>
    <w:pPr>
      <w:ind w:firstLine="200"/>
      <w:jc w:val="both"/>
    </w:pPr>
    <w:rPr>
      <w:rFonts w:ascii="宋体" w:hAnsi="Times New Roman" w:eastAsia="宋体" w:cs="Times New Roman"/>
      <w:sz w:val="21"/>
      <w:lang w:val="en-US" w:eastAsia="zh-CN" w:bidi="ar-SA"/>
    </w:rPr>
  </w:style>
  <w:style w:type="paragraph" w:styleId="1017" w:customStyle="1">
    <w:name w:val="首行缩进"/>
    <w:basedOn w:val="966"/>
    <w:uiPriority w:val="0"/>
    <w:qFormat/>
    <w:pPr>
      <w:ind w:firstLine="480"/>
    </w:pPr>
    <w:rPr>
      <w:szCs w:val="20"/>
      <w:lang w:val="zh-CN"/>
    </w:rPr>
  </w:style>
  <w:style w:type="paragraph" w:styleId="1018" w:customStyle="1">
    <w:name w:val="正文1"/>
    <w:basedOn w:val="974"/>
    <w:next w:val="966"/>
    <w:uiPriority w:val="0"/>
    <w:qFormat/>
    <w:pPr>
      <w:ind w:left="359" w:hanging="359"/>
      <w:spacing w:line="500" w:lineRule="exact"/>
      <w:tabs>
        <w:tab w:val="left" w:pos="480" w:leader="none"/>
      </w:tabs>
    </w:pPr>
    <w:rPr>
      <w:rFonts w:ascii="黑体" w:hAnsi="宋体"/>
    </w:rPr>
  </w:style>
  <w:style w:type="character" w:styleId="1019" w:customStyle="1">
    <w:name w:val="正文文本 Char"/>
    <w:link w:val="974"/>
    <w:uiPriority w:val="0"/>
    <w:qFormat/>
    <w:rPr>
      <w:rFonts w:eastAsia="宋体"/>
      <w:sz w:val="21"/>
      <w:szCs w:val="24"/>
      <w:lang w:val="en-US" w:eastAsia="zh-CN" w:bidi="ar-SA"/>
    </w:rPr>
  </w:style>
  <w:style w:type="character" w:styleId="1020" w:customStyle="1">
    <w:name w:val="标题 1 Char"/>
    <w:link w:val="967"/>
    <w:uiPriority w:val="0"/>
    <w:qFormat/>
    <w:rPr>
      <w:rFonts w:eastAsia="宋体"/>
      <w:b/>
      <w:bCs/>
      <w:sz w:val="44"/>
      <w:szCs w:val="44"/>
      <w:lang w:val="en-US" w:eastAsia="zh-CN" w:bidi="ar-SA"/>
    </w:rPr>
  </w:style>
  <w:style w:type="character" w:styleId="1021" w:customStyle="1">
    <w:name w:val="标题 2 Char"/>
    <w:link w:val="968"/>
    <w:uiPriority w:val="0"/>
    <w:qFormat/>
    <w:rPr>
      <w:rFonts w:ascii="Cambria" w:hAnsi="Cambria" w:eastAsia="宋体"/>
      <w:b/>
      <w:sz w:val="32"/>
      <w:szCs w:val="24"/>
      <w:lang w:val="en-US" w:eastAsia="zh-CN" w:bidi="ar-SA"/>
    </w:rPr>
  </w:style>
  <w:style w:type="character" w:styleId="1022" w:customStyle="1">
    <w:name w:val="标题 3 Char"/>
    <w:link w:val="969"/>
    <w:uiPriority w:val="0"/>
    <w:qFormat/>
    <w:rPr>
      <w:b/>
      <w:bCs/>
      <w:sz w:val="32"/>
      <w:szCs w:val="32"/>
    </w:rPr>
  </w:style>
  <w:style w:type="character" w:styleId="1023" w:customStyle="1">
    <w:name w:val="标题 4 Char"/>
    <w:link w:val="970"/>
    <w:uiPriority w:val="0"/>
    <w:qFormat/>
    <w:rPr>
      <w:rFonts w:eastAsia="宋体"/>
      <w:b/>
      <w:bCs/>
      <w:sz w:val="28"/>
      <w:szCs w:val="28"/>
      <w:lang w:val="en-US" w:eastAsia="zh-CN" w:bidi="ar-SA"/>
    </w:rPr>
  </w:style>
  <w:style w:type="character" w:styleId="1024" w:customStyle="1">
    <w:name w:val="标题 5 Char"/>
    <w:link w:val="971"/>
    <w:uiPriority w:val="0"/>
    <w:qFormat/>
    <w:rPr>
      <w:rFonts w:eastAsia="宋体"/>
      <w:b/>
      <w:bCs/>
      <w:i/>
      <w:iCs/>
      <w:sz w:val="26"/>
      <w:szCs w:val="26"/>
      <w:lang w:val="en-US" w:eastAsia="zh-CN" w:bidi="ar-SA"/>
    </w:rPr>
  </w:style>
  <w:style w:type="character" w:styleId="1025" w:customStyle="1">
    <w:name w:val="正文缩进 Char"/>
    <w:link w:val="975"/>
    <w:uiPriority w:val="0"/>
    <w:qFormat/>
    <w:rPr>
      <w:rFonts w:eastAsia="楷体_GB2312"/>
      <w:sz w:val="24"/>
      <w:lang w:val="en-US" w:eastAsia="zh-CN" w:bidi="ar-SA"/>
    </w:rPr>
  </w:style>
  <w:style w:type="character" w:styleId="1026" w:customStyle="1">
    <w:name w:val="批注文字 Char"/>
    <w:link w:val="978"/>
    <w:uiPriority w:val="0"/>
    <w:qFormat/>
    <w:rPr>
      <w:sz w:val="21"/>
      <w:szCs w:val="24"/>
    </w:rPr>
  </w:style>
  <w:style w:type="character" w:styleId="1027" w:customStyle="1">
    <w:name w:val="正文文本缩进 Char"/>
    <w:link w:val="979"/>
    <w:uiPriority w:val="0"/>
    <w:qFormat/>
    <w:rPr>
      <w:sz w:val="21"/>
      <w:szCs w:val="24"/>
    </w:rPr>
  </w:style>
  <w:style w:type="character" w:styleId="1028" w:customStyle="1">
    <w:name w:val="纯文本 Char"/>
    <w:link w:val="983"/>
    <w:uiPriority w:val="0"/>
    <w:qFormat/>
    <w:rPr>
      <w:rFonts w:ascii="宋体" w:hAnsi="Courier New" w:eastAsia="楷体_GB2312"/>
      <w:sz w:val="26"/>
      <w:szCs w:val="24"/>
    </w:rPr>
  </w:style>
  <w:style w:type="character" w:styleId="1029" w:customStyle="1">
    <w:name w:val="日期 Char"/>
    <w:link w:val="984"/>
    <w:uiPriority w:val="0"/>
    <w:qFormat/>
    <w:rPr>
      <w:rFonts w:eastAsia="宋体"/>
      <w:sz w:val="21"/>
      <w:szCs w:val="24"/>
      <w:lang w:val="en-US" w:eastAsia="zh-CN" w:bidi="ar-SA"/>
    </w:rPr>
  </w:style>
  <w:style w:type="character" w:styleId="1030" w:customStyle="1">
    <w:name w:val="批注框文本 Char"/>
    <w:link w:val="986"/>
    <w:uiPriority w:val="0"/>
    <w:qFormat/>
    <w:rPr>
      <w:rFonts w:eastAsia="宋体"/>
      <w:sz w:val="18"/>
      <w:szCs w:val="18"/>
      <w:lang w:val="en-US" w:eastAsia="zh-CN" w:bidi="ar-SA"/>
    </w:rPr>
  </w:style>
  <w:style w:type="character" w:styleId="1031" w:customStyle="1">
    <w:name w:val="页脚 Char"/>
    <w:link w:val="987"/>
    <w:uiPriority w:val="0"/>
    <w:qFormat/>
    <w:rPr>
      <w:rFonts w:eastAsia="宋体"/>
      <w:sz w:val="18"/>
      <w:szCs w:val="18"/>
      <w:lang w:val="en-US" w:eastAsia="zh-CN" w:bidi="ar-SA"/>
    </w:rPr>
  </w:style>
  <w:style w:type="character" w:styleId="1032" w:customStyle="1">
    <w:name w:val="页眉 Char"/>
    <w:link w:val="988"/>
    <w:uiPriority w:val="0"/>
    <w:qFormat/>
    <w:rPr>
      <w:rFonts w:eastAsia="宋体"/>
      <w:sz w:val="18"/>
      <w:szCs w:val="18"/>
      <w:lang w:val="en-US" w:eastAsia="zh-CN" w:bidi="ar-SA"/>
    </w:rPr>
  </w:style>
  <w:style w:type="character" w:styleId="1033" w:customStyle="1">
    <w:name w:val="副标题 Char"/>
    <w:link w:val="991"/>
    <w:uiPriority w:val="0"/>
    <w:qFormat/>
    <w:rPr>
      <w:rFonts w:ascii="宋体" w:hAnsi="Courier New" w:eastAsia="楷体_GB2312"/>
      <w:sz w:val="26"/>
      <w:szCs w:val="24"/>
    </w:rPr>
  </w:style>
  <w:style w:type="character" w:styleId="1034" w:customStyle="1">
    <w:name w:val="标题 Char"/>
    <w:link w:val="998"/>
    <w:uiPriority w:val="0"/>
    <w:qFormat/>
    <w:rPr>
      <w:rFonts w:ascii="Arial" w:hAnsi="Arial"/>
      <w:b/>
      <w:bCs/>
      <w:sz w:val="32"/>
      <w:szCs w:val="32"/>
    </w:rPr>
  </w:style>
  <w:style w:type="character" w:styleId="1035" w:customStyle="1">
    <w:name w:val="批注主题 Char"/>
    <w:link w:val="999"/>
    <w:uiPriority w:val="0"/>
    <w:qFormat/>
    <w:rPr>
      <w:b/>
      <w:bCs/>
      <w:sz w:val="21"/>
      <w:szCs w:val="24"/>
    </w:rPr>
  </w:style>
  <w:style w:type="character" w:styleId="1036" w:customStyle="1">
    <w:name w:val="Header Char"/>
    <w:uiPriority w:val="0"/>
    <w:qFormat/>
    <w:rPr>
      <w:rFonts w:eastAsia="宋体" w:cs="Times New Roman"/>
      <w:sz w:val="18"/>
      <w:szCs w:val="24"/>
      <w:lang w:val="en-US" w:eastAsia="zh-CN"/>
    </w:rPr>
  </w:style>
  <w:style w:type="character" w:styleId="1037" w:customStyle="1">
    <w:name w:val="+● Char Char Char Char Char Char"/>
    <w:link w:val="1038"/>
    <w:uiPriority w:val="0"/>
    <w:qFormat/>
    <w:rPr>
      <w:sz w:val="24"/>
      <w:szCs w:val="28"/>
    </w:rPr>
  </w:style>
  <w:style w:type="paragraph" w:styleId="1038" w:customStyle="1">
    <w:name w:val="+● Char Char Char"/>
    <w:basedOn w:val="966"/>
    <w:link w:val="1037"/>
    <w:uiPriority w:val="0"/>
    <w:qFormat/>
    <w:pPr>
      <w:ind w:firstLine="480"/>
      <w:spacing w:line="360" w:lineRule="auto"/>
      <w:tabs>
        <w:tab w:val="left" w:pos="958" w:leader="none"/>
      </w:tabs>
    </w:pPr>
    <w:rPr>
      <w:sz w:val="24"/>
      <w:szCs w:val="28"/>
    </w:rPr>
  </w:style>
  <w:style w:type="character" w:styleId="1039" w:customStyle="1">
    <w:name w:val="+正文 Char3"/>
    <w:link w:val="1040"/>
    <w:uiPriority w:val="0"/>
    <w:qFormat/>
    <w:rPr>
      <w:sz w:val="24"/>
      <w:szCs w:val="24"/>
    </w:rPr>
  </w:style>
  <w:style w:type="paragraph" w:styleId="1040" w:customStyle="1">
    <w:name w:val="+正文"/>
    <w:basedOn w:val="966"/>
    <w:link w:val="1039"/>
    <w:uiPriority w:val="0"/>
    <w:qFormat/>
    <w:pPr>
      <w:ind w:firstLine="200"/>
      <w:spacing w:line="360" w:lineRule="auto"/>
    </w:pPr>
    <w:rPr>
      <w:sz w:val="24"/>
    </w:rPr>
  </w:style>
  <w:style w:type="character" w:styleId="1041" w:customStyle="1">
    <w:name w:val="c lh15"/>
    <w:basedOn w:val="972"/>
    <w:uiPriority w:val="0"/>
    <w:qFormat/>
  </w:style>
  <w:style w:type="character" w:styleId="1042" w:customStyle="1">
    <w:name w:val="纯文本 Char Char2"/>
    <w:uiPriority w:val="0"/>
    <w:qFormat/>
    <w:rPr>
      <w:rFonts w:ascii="宋体" w:hAnsi="Courier New" w:eastAsia="楷体_GB2312"/>
      <w:sz w:val="26"/>
      <w:szCs w:val="24"/>
      <w:lang w:val="en-US" w:eastAsia="zh-CN" w:bidi="ar-SA"/>
    </w:rPr>
  </w:style>
  <w:style w:type="character" w:styleId="1043" w:customStyle="1">
    <w:name w:val="Char Char17"/>
    <w:uiPriority w:val="0"/>
    <w:qFormat/>
    <w:rPr>
      <w:rFonts w:eastAsia="楷体_GB2312"/>
      <w:sz w:val="24"/>
      <w:lang w:val="en-US" w:eastAsia="zh-CN" w:bidi="ar-SA"/>
    </w:rPr>
  </w:style>
  <w:style w:type="character" w:styleId="1044" w:customStyle="1">
    <w:name w:val="Heading 5 Char"/>
    <w:uiPriority w:val="0"/>
    <w:qFormat/>
    <w:rPr>
      <w:rFonts w:ascii="Times New Roman" w:hAnsi="Times New Roman" w:cs="Times New Roman"/>
      <w:b/>
      <w:bCs/>
      <w:sz w:val="28"/>
      <w:szCs w:val="28"/>
    </w:rPr>
  </w:style>
  <w:style w:type="character" w:styleId="1045" w:customStyle="1">
    <w:name w:val="首行缩进两字 Char1"/>
    <w:uiPriority w:val="0"/>
    <w:qFormat/>
    <w:rPr>
      <w:rFonts w:eastAsia="楷体_GB2312"/>
      <w:sz w:val="24"/>
      <w:lang w:val="en-US" w:eastAsia="zh-CN" w:bidi="ar-SA"/>
    </w:rPr>
  </w:style>
  <w:style w:type="character" w:styleId="1046" w:customStyle="1">
    <w:name w:val="Heading 3 Char"/>
    <w:uiPriority w:val="0"/>
    <w:qFormat/>
    <w:rPr>
      <w:rFonts w:ascii="Times New Roman" w:hAnsi="Times New Roman" w:cs="Times New Roman"/>
      <w:b/>
      <w:bCs/>
      <w:sz w:val="32"/>
      <w:szCs w:val="32"/>
    </w:rPr>
  </w:style>
  <w:style w:type="character" w:styleId="1047" w:customStyle="1">
    <w:name w:val="Heading 4 Char"/>
    <w:uiPriority w:val="0"/>
    <w:qFormat/>
    <w:rPr>
      <w:rFonts w:ascii="Times New Roman" w:hAnsi="Times New Roman" w:eastAsia="宋体" w:cs="Times New Roman"/>
      <w:b/>
      <w:bCs/>
      <w:sz w:val="28"/>
      <w:szCs w:val="28"/>
    </w:rPr>
  </w:style>
  <w:style w:type="character" w:styleId="1048" w:customStyle="1">
    <w:name w:val="NormalCharacter"/>
    <w:uiPriority w:val="0"/>
    <w:qFormat/>
  </w:style>
  <w:style w:type="character" w:styleId="1049" w:customStyle="1">
    <w:name w:val="首行缩进两字 Char2"/>
    <w:uiPriority w:val="0"/>
    <w:qFormat/>
    <w:rPr>
      <w:rFonts w:eastAsia="楷体_GB2312"/>
      <w:sz w:val="24"/>
      <w:lang w:val="en-US" w:eastAsia="zh-CN" w:bidi="ar-SA"/>
    </w:rPr>
  </w:style>
  <w:style w:type="character" w:styleId="1050" w:customStyle="1">
    <w:name w:val="标题 Char1"/>
    <w:uiPriority w:val="0"/>
    <w:qFormat/>
    <w:rPr>
      <w:rFonts w:ascii="Cambria" w:hAnsi="Cambria" w:cs="Times New Roman"/>
      <w:b/>
      <w:bCs/>
      <w:sz w:val="32"/>
      <w:szCs w:val="32"/>
    </w:rPr>
  </w:style>
  <w:style w:type="character" w:styleId="1051" w:customStyle="1">
    <w:name w:val="+标题2 Char Char"/>
    <w:link w:val="1052"/>
    <w:uiPriority w:val="0"/>
    <w:qFormat/>
    <w:rPr>
      <w:rFonts w:ascii="Cambria" w:hAnsi="Cambria"/>
      <w:b/>
      <w:sz w:val="24"/>
      <w:szCs w:val="24"/>
    </w:rPr>
  </w:style>
  <w:style w:type="paragraph" w:styleId="1052" w:customStyle="1">
    <w:name w:val="+标题2"/>
    <w:basedOn w:val="968"/>
    <w:link w:val="1051"/>
    <w:uiPriority w:val="0"/>
    <w:qFormat/>
    <w:pPr>
      <w:ind w:left="840" w:hanging="420"/>
      <w:spacing w:before="120" w:after="120" w:line="360" w:lineRule="auto"/>
      <w:tabs>
        <w:tab w:val="left" w:pos="431" w:leader="none"/>
      </w:tabs>
    </w:pPr>
    <w:rPr>
      <w:sz w:val="24"/>
    </w:rPr>
  </w:style>
  <w:style w:type="character" w:styleId="1053" w:customStyle="1">
    <w:name w:val="+列表1 Char Char Char Char Char Char"/>
    <w:link w:val="1054"/>
    <w:uiPriority w:val="0"/>
    <w:qFormat/>
    <w:rPr>
      <w:rFonts w:eastAsia="宋体"/>
      <w:sz w:val="24"/>
      <w:szCs w:val="24"/>
      <w:lang w:val="en-US" w:eastAsia="zh-CN" w:bidi="ar-SA"/>
    </w:rPr>
  </w:style>
  <w:style w:type="paragraph" w:styleId="1054" w:customStyle="1">
    <w:name w:val="+列表1"/>
    <w:basedOn w:val="966"/>
    <w:link w:val="1053"/>
    <w:uiPriority w:val="0"/>
    <w:qFormat/>
    <w:pPr>
      <w:jc w:val="center"/>
    </w:pPr>
    <w:rPr>
      <w:sz w:val="24"/>
    </w:rPr>
  </w:style>
  <w:style w:type="character" w:styleId="1055" w:customStyle="1">
    <w:name w:val="Plain Text Char Char"/>
    <w:link w:val="1056"/>
    <w:uiPriority w:val="0"/>
    <w:qFormat/>
    <w:rPr>
      <w:rFonts w:ascii="宋体" w:hAnsi="Courier New" w:eastAsia="楷体_GB2312"/>
      <w:sz w:val="28"/>
      <w:lang w:val="en-US" w:eastAsia="zh-CN" w:bidi="ar-SA"/>
    </w:rPr>
  </w:style>
  <w:style w:type="paragraph" w:styleId="1056" w:customStyle="1">
    <w:name w:val="纯文本1"/>
    <w:basedOn w:val="966"/>
    <w:link w:val="1055"/>
    <w:uiPriority w:val="0"/>
    <w:qFormat/>
    <w:rPr>
      <w:rFonts w:ascii="宋体" w:hAnsi="Courier New" w:eastAsia="楷体_GB2312"/>
      <w:sz w:val="28"/>
    </w:rPr>
  </w:style>
  <w:style w:type="character" w:styleId="1057" w:customStyle="1">
    <w:name w:val="方案文档 Char Char"/>
    <w:link w:val="1058"/>
    <w:uiPriority w:val="0"/>
    <w:qFormat/>
    <w:rPr>
      <w:rFonts w:eastAsia="Times New Roman"/>
      <w:sz w:val="24"/>
      <w:szCs w:val="24"/>
      <w:lang w:val="en-US" w:eastAsia="zh-CN" w:bidi="ar-SA"/>
    </w:rPr>
  </w:style>
  <w:style w:type="paragraph" w:styleId="1058" w:customStyle="1">
    <w:name w:val="方案文档"/>
    <w:link w:val="1057"/>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59" w:customStyle="1">
    <w:name w:val="UserStyle_5"/>
    <w:link w:val="1060"/>
    <w:uiPriority w:val="0"/>
    <w:qFormat/>
    <w:rPr>
      <w:sz w:val="16"/>
      <w:szCs w:val="16"/>
    </w:rPr>
  </w:style>
  <w:style w:type="paragraph" w:styleId="1060" w:customStyle="1">
    <w:name w:val="BodyTextIndent3"/>
    <w:basedOn w:val="966"/>
    <w:link w:val="1059"/>
    <w:uiPriority w:val="0"/>
    <w:qFormat/>
    <w:pPr>
      <w:ind w:left="420"/>
      <w:jc w:val="left"/>
      <w:spacing w:after="120"/>
      <w:widowControl/>
    </w:pPr>
    <w:rPr>
      <w:sz w:val="16"/>
      <w:szCs w:val="16"/>
    </w:rPr>
  </w:style>
  <w:style w:type="character" w:styleId="1061" w:customStyle="1">
    <w:name w:val="正文缩进 字符"/>
    <w:uiPriority w:val="0"/>
    <w:qFormat/>
    <w:rPr>
      <w:rFonts w:eastAsia="楷体_GB2312"/>
      <w:sz w:val="24"/>
    </w:rPr>
  </w:style>
  <w:style w:type="character" w:styleId="1062" w:customStyle="1">
    <w:name w:val="Footer Char"/>
    <w:uiPriority w:val="0"/>
    <w:qFormat/>
    <w:rPr>
      <w:rFonts w:ascii="Times New Roman" w:hAnsi="Times New Roman" w:cs="Times New Roman"/>
      <w:sz w:val="18"/>
      <w:szCs w:val="18"/>
    </w:rPr>
  </w:style>
  <w:style w:type="paragraph" w:styleId="1063" w:customStyle="1">
    <w:name w:val="Char Char Char1 Char Char Char Char"/>
    <w:basedOn w:val="966"/>
    <w:uiPriority w:val="0"/>
    <w:qFormat/>
    <w:pPr>
      <w:jc w:val="left"/>
      <w:spacing w:after="160" w:line="240" w:lineRule="exact"/>
      <w:widowControl/>
    </w:pPr>
    <w:rPr>
      <w:sz w:val="24"/>
    </w:rPr>
  </w:style>
  <w:style w:type="paragraph" w:styleId="1064" w:customStyle="1">
    <w:name w:val="p0"/>
    <w:basedOn w:val="966"/>
    <w:uiPriority w:val="0"/>
    <w:qFormat/>
    <w:pPr>
      <w:jc w:val="left"/>
      <w:widowControl/>
    </w:pPr>
    <w:rPr>
      <w:sz w:val="24"/>
    </w:rPr>
  </w:style>
  <w:style w:type="paragraph" w:styleId="1065"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66" w:customStyle="1">
    <w:name w:val="Plain Text1"/>
    <w:basedOn w:val="966"/>
    <w:uiPriority w:val="0"/>
    <w:qFormat/>
    <w:rPr>
      <w:rFonts w:ascii="宋体" w:hAnsi="Courier New" w:eastAsia="楷体_GB2312"/>
      <w:sz w:val="26"/>
      <w:szCs w:val="20"/>
    </w:rPr>
  </w:style>
  <w:style w:type="paragraph" w:styleId="1067" w:customStyle="1">
    <w:name w:val="Char Char Char Char Char Char Char Char Char1 Char Char Char Char"/>
    <w:basedOn w:val="977"/>
    <w:uiPriority w:val="0"/>
    <w:qFormat/>
    <w:pPr>
      <w:spacing w:line="360" w:lineRule="auto"/>
    </w:pPr>
    <w:rPr>
      <w:rFonts w:eastAsia="楷体_GB2312"/>
      <w:sz w:val="26"/>
      <w:szCs w:val="20"/>
    </w:rPr>
  </w:style>
  <w:style w:type="paragraph" w:styleId="1068" w:customStyle="1">
    <w:name w:val="表名"/>
    <w:basedOn w:val="1069"/>
    <w:uiPriority w:val="0"/>
    <w:qFormat/>
    <w:pPr>
      <w:jc w:val="right"/>
    </w:pPr>
    <w:rPr>
      <w:b/>
    </w:rPr>
  </w:style>
  <w:style w:type="paragraph" w:styleId="1069" w:customStyle="1">
    <w:name w:val="表格"/>
    <w:basedOn w:val="966"/>
    <w:uiPriority w:val="0"/>
    <w:qFormat/>
    <w:pPr>
      <w:jc w:val="center"/>
    </w:pPr>
    <w:rPr>
      <w:szCs w:val="22"/>
    </w:rPr>
  </w:style>
  <w:style w:type="paragraph" w:styleId="1070" w:customStyle="1">
    <w:name w:val="表"/>
    <w:basedOn w:val="966"/>
    <w:uiPriority w:val="0"/>
    <w:qFormat/>
    <w:pPr>
      <w:jc w:val="center"/>
    </w:pPr>
    <w:rPr>
      <w:szCs w:val="20"/>
    </w:rPr>
  </w:style>
  <w:style w:type="paragraph" w:styleId="1071" w:customStyle="1">
    <w:name w:val="正文标准"/>
    <w:basedOn w:val="966"/>
    <w:uiPriority w:val="0"/>
    <w:qFormat/>
    <w:pPr>
      <w:ind w:firstLine="200"/>
      <w:spacing w:line="360" w:lineRule="auto"/>
    </w:pPr>
    <w:rPr>
      <w:rFonts w:hAnsi="宋体"/>
      <w:sz w:val="24"/>
    </w:rPr>
  </w:style>
  <w:style w:type="paragraph" w:styleId="1072" w:customStyle="1">
    <w:name w:val="列出段落1"/>
    <w:basedOn w:val="966"/>
    <w:uiPriority w:val="0"/>
    <w:qFormat/>
    <w:pPr>
      <w:ind w:firstLine="420"/>
      <w:jc w:val="left"/>
      <w:spacing w:line="360" w:lineRule="auto"/>
    </w:pPr>
    <w:rPr>
      <w:sz w:val="24"/>
      <w:szCs w:val="22"/>
    </w:rPr>
  </w:style>
  <w:style w:type="paragraph" w:styleId="1073" w:customStyle="1">
    <w:name w:val="p25"/>
    <w:basedOn w:val="966"/>
    <w:uiPriority w:val="0"/>
    <w:qFormat/>
    <w:pPr>
      <w:jc w:val="left"/>
      <w:widowControl/>
    </w:pPr>
    <w:rPr>
      <w:rFonts w:ascii="黑体" w:hAnsi="黑体" w:eastAsia="黑体" w:cs="黑体"/>
      <w:sz w:val="26"/>
      <w:szCs w:val="26"/>
    </w:rPr>
  </w:style>
  <w:style w:type="paragraph" w:styleId="1074" w:customStyle="1">
    <w:name w:val="Char"/>
    <w:basedOn w:val="966"/>
    <w:uiPriority w:val="0"/>
    <w:qFormat/>
    <w:pPr>
      <w:ind w:left="420" w:hanging="420"/>
      <w:tabs>
        <w:tab w:val="left" w:pos="420" w:leader="none"/>
      </w:tabs>
    </w:pPr>
    <w:rPr>
      <w:sz w:val="24"/>
    </w:rPr>
  </w:style>
  <w:style w:type="paragraph" w:styleId="1075" w:customStyle="1">
    <w:name w:val="Char Char Char Char Char Char Char Char Char1 Char"/>
    <w:basedOn w:val="977"/>
    <w:uiPriority w:val="0"/>
    <w:qFormat/>
    <w:pPr>
      <w:spacing w:line="360" w:lineRule="auto"/>
    </w:pPr>
    <w:rPr>
      <w:rFonts w:ascii="Tahoma" w:hAnsi="Tahoma"/>
      <w:sz w:val="24"/>
    </w:rPr>
  </w:style>
  <w:style w:type="paragraph" w:styleId="1076" w:customStyle="1">
    <w:name w:val="纯文本11"/>
    <w:basedOn w:val="966"/>
    <w:next w:val="1077"/>
    <w:uiPriority w:val="0"/>
    <w:qFormat/>
    <w:rPr>
      <w:rFonts w:ascii="宋体" w:hAnsi="Courier New" w:eastAsia="楷体_GB2312"/>
      <w:sz w:val="28"/>
      <w:szCs w:val="20"/>
    </w:rPr>
  </w:style>
  <w:style w:type="paragraph" w:styleId="1077" w:customStyle="1">
    <w:name w:val="目录 41"/>
    <w:basedOn w:val="966"/>
    <w:next w:val="966"/>
    <w:uiPriority w:val="0"/>
    <w:qFormat/>
    <w:pPr>
      <w:ind w:left="630"/>
      <w:jc w:val="left"/>
    </w:pPr>
    <w:rPr>
      <w:szCs w:val="21"/>
    </w:rPr>
  </w:style>
  <w:style w:type="paragraph" w:styleId="1078" w:customStyle="1">
    <w:name w:val="UserStyle_7"/>
    <w:next w:val="966"/>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79" w:customStyle="1">
    <w:name w:val="Char Char Char"/>
    <w:basedOn w:val="977"/>
    <w:uiPriority w:val="0"/>
    <w:qFormat/>
    <w:pPr>
      <w:spacing w:line="360" w:lineRule="auto"/>
    </w:pPr>
    <w:rPr>
      <w:rFonts w:ascii="Tahoma" w:hAnsi="Tahoma"/>
      <w:sz w:val="24"/>
    </w:rPr>
  </w:style>
  <w:style w:type="paragraph" w:styleId="1080" w:customStyle="1">
    <w:name w:val="图名"/>
    <w:basedOn w:val="966"/>
    <w:uiPriority w:val="0"/>
    <w:qFormat/>
    <w:pPr>
      <w:jc w:val="center"/>
    </w:pPr>
    <w:rPr>
      <w:rFonts w:ascii="宋体" w:hAnsi="宋体"/>
      <w:b/>
      <w:szCs w:val="22"/>
    </w:rPr>
  </w:style>
  <w:style w:type="paragraph" w:styleId="1081" w:customStyle="1">
    <w:name w:val="格式３"/>
    <w:basedOn w:val="966"/>
    <w:uiPriority w:val="0"/>
    <w:qFormat/>
    <w:pPr>
      <w:ind w:left="600" w:hanging="600"/>
      <w:spacing w:line="420" w:lineRule="exact"/>
    </w:pPr>
    <w:rPr>
      <w:rFonts w:ascii="宋体" w:hAnsi="宋体"/>
      <w:color w:val="000000"/>
      <w:sz w:val="24"/>
      <w:szCs w:val="20"/>
    </w:rPr>
  </w:style>
  <w:style w:type="paragraph" w:styleId="1082" w:customStyle="1">
    <w:name w:val="xl44"/>
    <w:basedOn w:val="96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3" w:customStyle="1">
    <w:name w:val="Char Char Char Char Char Char Char Char Char Char"/>
    <w:basedOn w:val="966"/>
    <w:uiPriority w:val="0"/>
    <w:qFormat/>
    <w:pPr>
      <w:ind w:left="420" w:hanging="420"/>
      <w:tabs>
        <w:tab w:val="left" w:pos="420" w:leader="none"/>
      </w:tabs>
    </w:pPr>
    <w:rPr>
      <w:sz w:val="24"/>
    </w:rPr>
  </w:style>
  <w:style w:type="paragraph" w:styleId="1084" w:customStyle="1">
    <w:name w:val="图片"/>
    <w:basedOn w:val="966"/>
    <w:uiPriority w:val="0"/>
    <w:qFormat/>
    <w:pPr>
      <w:jc w:val="center"/>
      <w:spacing w:line="360" w:lineRule="auto"/>
    </w:pPr>
    <w:rPr>
      <w:b/>
      <w:szCs w:val="22"/>
    </w:rPr>
  </w:style>
  <w:style w:type="paragraph" w:styleId="1085" w:customStyle="1">
    <w:name w:val="纯文本2"/>
    <w:basedOn w:val="966"/>
    <w:uiPriority w:val="0"/>
    <w:qFormat/>
    <w:pPr>
      <w:jc w:val="left"/>
      <w:widowControl/>
    </w:pPr>
    <w:rPr>
      <w:rFonts w:ascii="宋体" w:hAnsi="Courier New" w:eastAsia="楷体_GB2312"/>
      <w:sz w:val="26"/>
      <w:szCs w:val="20"/>
    </w:rPr>
  </w:style>
  <w:style w:type="paragraph" w:styleId="1086"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87" w:customStyle="1">
    <w:name w:val="Char Char Char Char Char Char Char"/>
    <w:basedOn w:val="966"/>
    <w:uiPriority w:val="0"/>
    <w:qFormat/>
  </w:style>
  <w:style w:type="paragraph" w:styleId="1088" w:customStyle="1">
    <w:name w:val="Char Char Char Char"/>
    <w:basedOn w:val="977"/>
    <w:uiPriority w:val="0"/>
    <w:qFormat/>
    <w:pPr>
      <w:spacing w:line="360" w:lineRule="auto"/>
    </w:pPr>
    <w:rPr>
      <w:sz w:val="24"/>
      <w:szCs w:val="20"/>
    </w:rPr>
  </w:style>
  <w:style w:type="paragraph" w:styleId="1089" w:customStyle="1">
    <w:name w:val="TOC 标题1"/>
    <w:basedOn w:val="967"/>
    <w:next w:val="966"/>
    <w:uiPriority w:val="0"/>
    <w:qFormat/>
    <w:pPr>
      <w:jc w:val="left"/>
      <w:spacing w:before="480" w:after="0" w:line="276" w:lineRule="auto"/>
      <w:widowControl/>
      <w:outlineLvl w:val="9"/>
    </w:pPr>
    <w:rPr>
      <w:rFonts w:ascii="Cambria" w:hAnsi="Cambria"/>
      <w:color w:val="365f91"/>
      <w:sz w:val="28"/>
      <w:szCs w:val="28"/>
    </w:rPr>
  </w:style>
  <w:style w:type="paragraph" w:styleId="1090" w:customStyle="1">
    <w:name w:val="Char1 Char Char Char"/>
    <w:basedOn w:val="966"/>
    <w:uiPriority w:val="0"/>
    <w:qFormat/>
    <w:rPr>
      <w:rFonts w:ascii="Tahoma" w:hAnsi="Tahoma"/>
      <w:sz w:val="24"/>
      <w:szCs w:val="20"/>
    </w:rPr>
  </w:style>
  <w:style w:type="paragraph" w:styleId="1091" w:customStyle="1">
    <w:name w:val="正文21"/>
    <w:basedOn w:val="966"/>
    <w:uiPriority w:val="0"/>
    <w:qFormat/>
    <w:pPr>
      <w:ind w:firstLine="200"/>
      <w:jc w:val="left"/>
      <w:spacing w:after="160" w:line="360" w:lineRule="auto"/>
      <w:widowControl/>
    </w:pPr>
    <w:rPr>
      <w:rFonts w:ascii="Verdana" w:hAnsi="Verdana" w:eastAsia="黑体"/>
      <w:szCs w:val="20"/>
      <w:lang w:eastAsia="en-US"/>
    </w:rPr>
  </w:style>
  <w:style w:type="paragraph" w:styleId="1092" w:customStyle="1">
    <w:name w:val="纯文本3"/>
    <w:basedOn w:val="966"/>
    <w:uiPriority w:val="0"/>
    <w:qFormat/>
    <w:rPr>
      <w:rFonts w:ascii="宋体" w:hAnsi="Courier New" w:eastAsia="楷体_GB2312"/>
      <w:sz w:val="28"/>
      <w:szCs w:val="20"/>
    </w:rPr>
  </w:style>
  <w:style w:type="paragraph" w:styleId="109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4"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95">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96" w:customStyle="1">
    <w:name w:val="font11"/>
    <w:basedOn w:val="972"/>
    <w:uiPriority w:val="0"/>
    <w:qFormat/>
    <w:rPr>
      <w:rFonts w:hint="eastAsia" w:ascii="宋体" w:hAnsi="宋体" w:eastAsia="宋体" w:cs="宋体"/>
      <w:color w:val="000000"/>
      <w:sz w:val="21"/>
      <w:szCs w:val="21"/>
      <w:u w:val="none"/>
    </w:rPr>
  </w:style>
  <w:style w:type="paragraph" w:styleId="1097" w:customStyle="1">
    <w:name w:val="_Style 30"/>
    <w:basedOn w:val="966"/>
    <w:next w:val="983"/>
    <w:uiPriority w:val="0"/>
    <w:qFormat/>
    <w:rPr>
      <w:rFonts w:ascii="宋体" w:hAnsi="Courier New"/>
    </w:rPr>
  </w:style>
  <w:style w:type="paragraph" w:styleId="109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099" w:customStyle="1">
    <w:name w:val="fontstrikethrough"/>
    <w:basedOn w:val="972"/>
    <w:uiPriority w:val="0"/>
    <w:qFormat/>
    <w:rPr>
      <w:strike/>
    </w:rPr>
  </w:style>
  <w:style w:type="character" w:styleId="1100" w:customStyle="1">
    <w:name w:val="fontborder"/>
    <w:basedOn w:val="972"/>
    <w:uiPriority w:val="0"/>
    <w:qFormat/>
  </w:style>
  <w:style w:type="paragraph" w:styleId="1101">
    <w:name w:val="List Paragraph"/>
    <w:basedOn w:val="966"/>
    <w:uiPriority w:val="99"/>
    <w:qFormat/>
    <w:pPr>
      <w:ind w:firstLine="420"/>
    </w:pPr>
  </w:style>
  <w:style w:type="paragraph" w:styleId="1102"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3" w:customStyle="1">
    <w:name w:val="表格文字"/>
    <w:basedOn w:val="974"/>
    <w:next w:val="974"/>
    <w:uiPriority w:val="0"/>
    <w:qFormat/>
    <w:pPr>
      <w:jc w:val="left"/>
      <w:spacing w:line="420" w:lineRule="atLeast"/>
    </w:pPr>
    <w:rPr>
      <w:szCs w:val="20"/>
    </w:rPr>
  </w:style>
  <w:style w:type="paragraph" w:styleId="1104" w:customStyle="1">
    <w:name w:val="Table Paragraph"/>
    <w:basedOn w:val="966"/>
    <w:uiPriority w:val="1"/>
    <w:qFormat/>
    <w:pPr>
      <w:jc w:val="left"/>
    </w:pPr>
    <w:rPr>
      <w:rFonts w:ascii="宋体" w:hAnsi="宋体" w:cs="宋体"/>
      <w:sz w:val="22"/>
      <w:szCs w:val="22"/>
      <w:lang w:val="zh-CN" w:bidi="zh-CN"/>
    </w:rPr>
  </w:style>
  <w:style w:type="paragraph" w:styleId="1105" w:customStyle="1">
    <w:name w:val="纯文本5"/>
    <w:basedOn w:val="966"/>
    <w:uiPriority w:val="0"/>
    <w:qFormat/>
    <w:rPr>
      <w:rFonts w:ascii="宋体" w:hAnsi="Courier New" w:eastAsia="楷体_GB2312"/>
      <w:sz w:val="26"/>
      <w:szCs w:val="20"/>
    </w:rPr>
  </w:style>
  <w:style w:type="paragraph" w:styleId="1106" w:customStyle="1">
    <w:name w:val="纯文本6"/>
    <w:basedOn w:val="966"/>
    <w:uiPriority w:val="0"/>
    <w:qFormat/>
    <w:rPr>
      <w:rFonts w:ascii="宋体" w:hAnsi="Courier New" w:eastAsia="楷体_GB2312"/>
      <w:sz w:val="26"/>
    </w:rPr>
  </w:style>
  <w:style w:type="paragraph" w:styleId="1107" w:customStyle="1">
    <w:name w:val="纯文本7"/>
    <w:basedOn w:val="966"/>
    <w:uiPriority w:val="0"/>
    <w:qFormat/>
    <w:rPr>
      <w:rFonts w:ascii="宋体" w:hAnsi="Courier New" w:eastAsia="楷体_GB2312"/>
      <w:sz w:val="28"/>
    </w:rPr>
  </w:style>
  <w:style w:type="paragraph" w:styleId="1108" w:customStyle="1">
    <w:name w:val="方案正文"/>
    <w:basedOn w:val="966"/>
    <w:uiPriority w:val="0"/>
    <w:qFormat/>
    <w:pPr>
      <w:spacing w:line="440" w:lineRule="atLeast"/>
    </w:pPr>
    <w:rPr>
      <w:sz w:val="24"/>
    </w:rPr>
  </w:style>
  <w:style w:type="table" w:styleId="1109" w:customStyle="1">
    <w:name w:val="Table Normal"/>
    <w:uiPriority w:val="0"/>
    <w:semiHidden/>
    <w:unhideWhenUsed/>
    <w:qFormat/>
    <w:tblPr>
      <w:tblCellMar>
        <w:left w:w="0" w:type="dxa"/>
        <w:top w:w="0" w:type="dxa"/>
        <w:right w:w="0" w:type="dxa"/>
        <w:bottom w:w="0" w:type="dxa"/>
      </w:tblCellMar>
    </w:tblPr>
  </w:style>
  <w:style w:type="paragraph" w:styleId="1110" w:customStyle="1">
    <w:name w:val="Table Text"/>
    <w:basedOn w:val="966"/>
    <w:uiPriority w:val="0"/>
    <w:semiHidden/>
    <w:qFormat/>
    <w:rPr>
      <w:rFonts w:ascii="Arial" w:hAnsi="Arial" w:eastAsia="Arial" w:cs="Arial"/>
      <w:sz w:val="21"/>
      <w:szCs w:val="21"/>
      <w:lang w:val="en-US" w:eastAsia="en-US" w:bidi="ar-SA"/>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盛晓蓉</cp:lastModifiedBy>
  <cp:revision>41</cp:revision>
  <dcterms:created xsi:type="dcterms:W3CDTF">2021-12-24T05:09:00Z</dcterms:created>
  <dcterms:modified xsi:type="dcterms:W3CDTF">2025-10-28T05:42:16Z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DAE8C30BC6444123B0904E606D1B364D_13</vt:lpwstr>
  </property>
  <property fmtid="{D5CDD505-2E9C-101B-9397-08002B2CF9AE}" pid="4" name="KSOTemplateDocerSaveRecord">
    <vt:lpwstr>eyJoZGlkIjoiNDM0OThkOTZkZDQxYTM1ODJiNzIyOGE4MTdhZTZiNjciLCJ1c2VySWQiOiIzMjgwNzUwMDIifQ==</vt:lpwstr>
  </property>
</Properties>
</file>